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8F8AA" w14:textId="59D208F7" w:rsidR="00D30F93" w:rsidRPr="00DE73BE" w:rsidRDefault="006E215A" w:rsidP="00DE73BE">
      <w:pPr>
        <w:rPr>
          <w:lang w:val="it-IT"/>
        </w:rPr>
      </w:pPr>
      <w:bookmarkStart w:id="0" w:name="_Hlk118897994"/>
      <w:r w:rsidRPr="00DE73BE">
        <w:rPr>
          <w:rFonts w:ascii="Lato" w:hAnsi="Lato" w:cstheme="minorHAnsi"/>
          <w:b/>
          <w:bCs/>
          <w:color w:val="404040"/>
          <w:sz w:val="44"/>
          <w:szCs w:val="44"/>
          <w:lang w:val="it-IT"/>
        </w:rPr>
        <w:t xml:space="preserve">Carrello tricolore, </w:t>
      </w:r>
      <w:r w:rsidR="00DE4659" w:rsidRPr="00DE73BE">
        <w:rPr>
          <w:rFonts w:ascii="Lato" w:hAnsi="Lato" w:cstheme="minorHAnsi"/>
          <w:b/>
          <w:bCs/>
          <w:color w:val="404040"/>
          <w:sz w:val="44"/>
          <w:szCs w:val="44"/>
          <w:lang w:val="it-IT"/>
        </w:rPr>
        <w:t>l’analisi di Altroconsumo</w:t>
      </w:r>
      <w:r w:rsidR="00C63D26" w:rsidRPr="00DE73BE">
        <w:rPr>
          <w:rFonts w:ascii="Lato" w:hAnsi="Lato" w:cstheme="minorHAnsi"/>
          <w:b/>
          <w:bCs/>
          <w:color w:val="404040"/>
          <w:sz w:val="44"/>
          <w:szCs w:val="44"/>
          <w:lang w:val="it-IT"/>
        </w:rPr>
        <w:t xml:space="preserve"> </w:t>
      </w:r>
      <w:r w:rsidRPr="00DE73BE">
        <w:rPr>
          <w:rFonts w:ascii="Lato" w:hAnsi="Lato" w:cstheme="minorHAnsi"/>
          <w:b/>
          <w:bCs/>
          <w:color w:val="404040"/>
          <w:sz w:val="44"/>
          <w:szCs w:val="44"/>
          <w:lang w:val="it-IT"/>
        </w:rPr>
        <w:t>evidenzia risparmi limitati per i cittadini</w:t>
      </w:r>
    </w:p>
    <w:p w14:paraId="1A6A87C9" w14:textId="2A4E1972" w:rsidR="009314AA" w:rsidRDefault="009314AA" w:rsidP="00BF4B11">
      <w:pPr>
        <w:shd w:val="clear" w:color="auto" w:fill="FFFFFF"/>
        <w:spacing w:before="100" w:beforeAutospacing="1" w:after="100" w:afterAutospacing="1" w:line="240" w:lineRule="auto"/>
        <w:jc w:val="both"/>
        <w:rPr>
          <w:rFonts w:ascii="Lato" w:hAnsi="Lato" w:cstheme="minorHAnsi"/>
          <w:b/>
          <w:bCs/>
          <w:lang w:val="it-IT"/>
        </w:rPr>
      </w:pPr>
      <w:r>
        <w:rPr>
          <w:rFonts w:ascii="Lato" w:hAnsi="Lato" w:cstheme="minorHAnsi"/>
          <w:b/>
          <w:bCs/>
          <w:lang w:val="it-IT"/>
        </w:rPr>
        <w:t>R</w:t>
      </w:r>
      <w:r w:rsidRPr="009314AA">
        <w:rPr>
          <w:rFonts w:ascii="Lato" w:hAnsi="Lato" w:cstheme="minorHAnsi"/>
          <w:b/>
          <w:bCs/>
          <w:lang w:val="it-IT"/>
        </w:rPr>
        <w:t>ilevat</w:t>
      </w:r>
      <w:r>
        <w:rPr>
          <w:rFonts w:ascii="Lato" w:hAnsi="Lato" w:cstheme="minorHAnsi"/>
          <w:b/>
          <w:bCs/>
          <w:lang w:val="it-IT"/>
        </w:rPr>
        <w:t>i</w:t>
      </w:r>
      <w:r w:rsidRPr="009314AA">
        <w:rPr>
          <w:rFonts w:ascii="Lato" w:hAnsi="Lato" w:cstheme="minorHAnsi"/>
          <w:b/>
          <w:bCs/>
          <w:lang w:val="it-IT"/>
        </w:rPr>
        <w:t xml:space="preserve"> i prezzi di 125 tip</w:t>
      </w:r>
      <w:r w:rsidR="008255F8">
        <w:rPr>
          <w:rFonts w:ascii="Lato" w:hAnsi="Lato" w:cstheme="minorHAnsi"/>
          <w:b/>
          <w:bCs/>
          <w:lang w:val="it-IT"/>
        </w:rPr>
        <w:t>ologie</w:t>
      </w:r>
      <w:r w:rsidRPr="009314AA">
        <w:rPr>
          <w:rFonts w:ascii="Lato" w:hAnsi="Lato" w:cstheme="minorHAnsi"/>
          <w:b/>
          <w:bCs/>
          <w:lang w:val="it-IT"/>
        </w:rPr>
        <w:t xml:space="preserve"> di prodotto in 15 punti vendita delle catene principali tra Milano e Roma: in media solo 24 categorie sono scontate e mancano alimenti come l'olio di oliva, l'acqua e i freschi. </w:t>
      </w:r>
    </w:p>
    <w:p w14:paraId="7821A79C" w14:textId="77777777" w:rsidR="009314AA" w:rsidRDefault="009314AA" w:rsidP="00BF4B11">
      <w:pPr>
        <w:shd w:val="clear" w:color="auto" w:fill="FFFFFF"/>
        <w:spacing w:before="100" w:beforeAutospacing="1" w:after="100" w:afterAutospacing="1" w:line="240" w:lineRule="auto"/>
        <w:jc w:val="both"/>
        <w:rPr>
          <w:rFonts w:ascii="Lato" w:hAnsi="Lato" w:cstheme="minorHAnsi"/>
          <w:b/>
          <w:bCs/>
          <w:lang w:val="it-IT"/>
        </w:rPr>
      </w:pPr>
      <w:r w:rsidRPr="009314AA">
        <w:rPr>
          <w:rFonts w:ascii="Lato" w:hAnsi="Lato" w:cstheme="minorHAnsi"/>
          <w:b/>
          <w:bCs/>
          <w:lang w:val="it-IT"/>
        </w:rPr>
        <w:t xml:space="preserve">Il trimestre antinflazione non </w:t>
      </w:r>
      <w:r>
        <w:rPr>
          <w:rFonts w:ascii="Lato" w:hAnsi="Lato" w:cstheme="minorHAnsi"/>
          <w:b/>
          <w:bCs/>
          <w:lang w:val="it-IT"/>
        </w:rPr>
        <w:t>sta</w:t>
      </w:r>
      <w:r w:rsidRPr="009314AA">
        <w:rPr>
          <w:rFonts w:ascii="Lato" w:hAnsi="Lato" w:cstheme="minorHAnsi"/>
          <w:b/>
          <w:bCs/>
          <w:lang w:val="it-IT"/>
        </w:rPr>
        <w:t xml:space="preserve"> genera</w:t>
      </w:r>
      <w:r>
        <w:rPr>
          <w:rFonts w:ascii="Lato" w:hAnsi="Lato" w:cstheme="minorHAnsi"/>
          <w:b/>
          <w:bCs/>
          <w:lang w:val="it-IT"/>
        </w:rPr>
        <w:t>ndo</w:t>
      </w:r>
      <w:r w:rsidRPr="009314AA">
        <w:rPr>
          <w:rFonts w:ascii="Lato" w:hAnsi="Lato" w:cstheme="minorHAnsi"/>
          <w:b/>
          <w:bCs/>
          <w:lang w:val="it-IT"/>
        </w:rPr>
        <w:t xml:space="preserve"> sufficienti occasioni di risparmio in più rispetto a prima perché, nel frattempo, il numero delle altre offerte si è ridotto di ben il 36% in media. </w:t>
      </w:r>
    </w:p>
    <w:p w14:paraId="78C8FDC3" w14:textId="6C242120" w:rsidR="009314AA" w:rsidRDefault="00DE73BE" w:rsidP="00BF4B11">
      <w:pPr>
        <w:shd w:val="clear" w:color="auto" w:fill="FFFFFF"/>
        <w:spacing w:before="100" w:beforeAutospacing="1" w:after="100" w:afterAutospacing="1" w:line="240" w:lineRule="auto"/>
        <w:jc w:val="both"/>
        <w:rPr>
          <w:rFonts w:ascii="Lato" w:hAnsi="Lato" w:cstheme="minorHAnsi"/>
          <w:b/>
          <w:bCs/>
          <w:lang w:val="it-IT"/>
        </w:rPr>
      </w:pPr>
      <w:r w:rsidRPr="00DE73BE">
        <w:rPr>
          <w:rFonts w:ascii="Lato" w:hAnsi="Lato" w:cstheme="minorHAnsi"/>
          <w:b/>
          <w:bCs/>
          <w:lang w:val="it-IT"/>
        </w:rPr>
        <w:t>I prezzi dei prodotti nel carrello tricolore</w:t>
      </w:r>
      <w:r>
        <w:rPr>
          <w:rFonts w:ascii="Lato" w:hAnsi="Lato" w:cstheme="minorHAnsi"/>
          <w:b/>
          <w:bCs/>
          <w:lang w:val="it-IT"/>
        </w:rPr>
        <w:t xml:space="preserve"> - </w:t>
      </w:r>
      <w:r w:rsidRPr="00DE73BE">
        <w:rPr>
          <w:rFonts w:ascii="Lato" w:hAnsi="Lato" w:cstheme="minorHAnsi"/>
          <w:b/>
          <w:bCs/>
          <w:lang w:val="it-IT"/>
        </w:rPr>
        <w:t>quasi sempre della marca del distributore</w:t>
      </w:r>
      <w:r>
        <w:rPr>
          <w:rFonts w:ascii="Lato" w:hAnsi="Lato" w:cstheme="minorHAnsi"/>
          <w:b/>
          <w:bCs/>
          <w:lang w:val="it-IT"/>
        </w:rPr>
        <w:t xml:space="preserve"> - </w:t>
      </w:r>
      <w:r w:rsidRPr="00DE73BE">
        <w:rPr>
          <w:rFonts w:ascii="Lato" w:hAnsi="Lato" w:cstheme="minorHAnsi"/>
          <w:b/>
          <w:bCs/>
          <w:lang w:val="it-IT"/>
        </w:rPr>
        <w:t>sono effettivamente diminuiti rispetto a</w:t>
      </w:r>
      <w:r>
        <w:rPr>
          <w:rFonts w:ascii="Lato" w:hAnsi="Lato" w:cstheme="minorHAnsi"/>
          <w:b/>
          <w:bCs/>
          <w:lang w:val="it-IT"/>
        </w:rPr>
        <w:t>i mesi precedenti, ma n</w:t>
      </w:r>
      <w:r w:rsidR="009314AA" w:rsidRPr="009314AA">
        <w:rPr>
          <w:rFonts w:ascii="Lato" w:hAnsi="Lato" w:cstheme="minorHAnsi"/>
          <w:b/>
          <w:bCs/>
          <w:lang w:val="it-IT"/>
        </w:rPr>
        <w:t>el 78% dei casi non sono i più economici sullo scaffale.</w:t>
      </w:r>
    </w:p>
    <w:p w14:paraId="2AD08439" w14:textId="288A52D4" w:rsidR="00BF4B11" w:rsidRDefault="00A06566" w:rsidP="00BF4B11">
      <w:pPr>
        <w:shd w:val="clear" w:color="auto" w:fill="FFFFFF"/>
        <w:spacing w:before="100" w:beforeAutospacing="1" w:after="100" w:afterAutospacing="1" w:line="240" w:lineRule="auto"/>
        <w:jc w:val="both"/>
        <w:rPr>
          <w:rFonts w:ascii="Lato" w:eastAsia="Calibri" w:hAnsi="Lato" w:cs="Calibri"/>
          <w:lang w:val="it-IT" w:eastAsia="it-IT"/>
        </w:rPr>
      </w:pPr>
      <w:r w:rsidRPr="00BF4B11">
        <w:rPr>
          <w:rFonts w:ascii="Lato" w:hAnsi="Lato"/>
          <w:lang w:val="it-IT"/>
        </w:rPr>
        <w:t>1</w:t>
      </w:r>
      <w:r w:rsidR="00296A43">
        <w:rPr>
          <w:rFonts w:ascii="Lato" w:hAnsi="Lato"/>
          <w:lang w:val="it-IT"/>
        </w:rPr>
        <w:t>6</w:t>
      </w:r>
      <w:r w:rsidR="00D702B6" w:rsidRPr="00BF4B11">
        <w:rPr>
          <w:rFonts w:ascii="Lato" w:hAnsi="Lato"/>
          <w:lang w:val="it-IT"/>
        </w:rPr>
        <w:t xml:space="preserve"> </w:t>
      </w:r>
      <w:r w:rsidR="00B25AEB" w:rsidRPr="00BF4B11">
        <w:rPr>
          <w:rFonts w:ascii="Lato" w:hAnsi="Lato"/>
          <w:lang w:val="it-IT"/>
        </w:rPr>
        <w:t>novembre</w:t>
      </w:r>
      <w:r w:rsidR="004245FE" w:rsidRPr="00BF4B11">
        <w:rPr>
          <w:rFonts w:ascii="Lato" w:hAnsi="Lato"/>
          <w:lang w:val="it-IT"/>
        </w:rPr>
        <w:t xml:space="preserve"> 2023</w:t>
      </w:r>
      <w:r w:rsidR="00A055F6" w:rsidRPr="00BF4B11">
        <w:rPr>
          <w:rFonts w:ascii="Lato" w:hAnsi="Lato"/>
          <w:lang w:val="it-IT"/>
        </w:rPr>
        <w:t xml:space="preserve"> –</w:t>
      </w:r>
      <w:bookmarkEnd w:id="0"/>
      <w:r w:rsidR="0002475C" w:rsidRPr="00BF4B11">
        <w:rPr>
          <w:rFonts w:ascii="Lato" w:hAnsi="Lato"/>
          <w:lang w:val="it-IT"/>
        </w:rPr>
        <w:t xml:space="preserve"> </w:t>
      </w:r>
      <w:r w:rsidR="00521B6D" w:rsidRPr="00BF4B11">
        <w:rPr>
          <w:rFonts w:ascii="Lato" w:hAnsi="Lato"/>
          <w:lang w:val="it-IT"/>
        </w:rPr>
        <w:t>Dal 1° ottobre è in corso</w:t>
      </w:r>
      <w:r w:rsidR="00521B6D" w:rsidRPr="00BF4B11">
        <w:rPr>
          <w:rFonts w:ascii="Lato" w:eastAsia="Calibri" w:hAnsi="Lato" w:cs="Calibri"/>
          <w:lang w:val="it-IT" w:eastAsia="it-IT"/>
        </w:rPr>
        <w:t xml:space="preserve"> i</w:t>
      </w:r>
      <w:r w:rsidR="00521B6D" w:rsidRPr="006E215A">
        <w:rPr>
          <w:rFonts w:ascii="Lato" w:eastAsia="Calibri" w:hAnsi="Lato" w:cs="Calibri"/>
          <w:lang w:val="it-IT" w:eastAsia="it-IT"/>
        </w:rPr>
        <w:t>l </w:t>
      </w:r>
      <w:hyperlink r:id="rId6" w:history="1">
        <w:r w:rsidR="00521B6D" w:rsidRPr="006E215A">
          <w:rPr>
            <w:rStyle w:val="Collegamentoipertestuale"/>
            <w:rFonts w:ascii="Lato" w:eastAsia="Calibri" w:hAnsi="Lato" w:cs="Calibri"/>
            <w:lang w:val="it-IT" w:eastAsia="it-IT"/>
          </w:rPr>
          <w:t>trimestre antinflazione</w:t>
        </w:r>
      </w:hyperlink>
      <w:r w:rsidR="00521B6D" w:rsidRPr="006E215A">
        <w:rPr>
          <w:rFonts w:ascii="Lato" w:eastAsia="Calibri" w:hAnsi="Lato" w:cs="Calibri"/>
          <w:lang w:val="it-IT" w:eastAsia="it-IT"/>
        </w:rPr>
        <w:t>, iniziativa</w:t>
      </w:r>
      <w:r w:rsidR="00521B6D" w:rsidRPr="00BF4B11">
        <w:rPr>
          <w:rFonts w:ascii="Lato" w:eastAsia="Calibri" w:hAnsi="Lato" w:cs="Calibri"/>
          <w:lang w:val="it-IT" w:eastAsia="it-IT"/>
        </w:rPr>
        <w:t xml:space="preserve"> concordata</w:t>
      </w:r>
      <w:r w:rsidR="00521B6D" w:rsidRPr="006E215A">
        <w:rPr>
          <w:rFonts w:ascii="Lato" w:eastAsia="Calibri" w:hAnsi="Lato" w:cs="Calibri"/>
          <w:lang w:val="it-IT" w:eastAsia="it-IT"/>
        </w:rPr>
        <w:t xml:space="preserve"> </w:t>
      </w:r>
      <w:r w:rsidR="00521B6D" w:rsidRPr="00BF4B11">
        <w:rPr>
          <w:rFonts w:ascii="Lato" w:eastAsia="Calibri" w:hAnsi="Lato" w:cs="Calibri"/>
          <w:lang w:val="it-IT" w:eastAsia="it-IT"/>
        </w:rPr>
        <w:t xml:space="preserve">tra </w:t>
      </w:r>
      <w:r w:rsidR="00521B6D" w:rsidRPr="006E215A">
        <w:rPr>
          <w:rFonts w:ascii="Lato" w:eastAsia="Calibri" w:hAnsi="Lato" w:cs="Calibri"/>
          <w:lang w:val="it-IT" w:eastAsia="it-IT"/>
        </w:rPr>
        <w:t>governo</w:t>
      </w:r>
      <w:r w:rsidR="001B190A">
        <w:rPr>
          <w:rFonts w:ascii="Lato" w:eastAsia="Calibri" w:hAnsi="Lato" w:cs="Calibri"/>
          <w:lang w:val="it-IT" w:eastAsia="it-IT"/>
        </w:rPr>
        <w:t xml:space="preserve">, </w:t>
      </w:r>
      <w:r w:rsidR="00521B6D" w:rsidRPr="00BF4B11">
        <w:rPr>
          <w:rFonts w:ascii="Lato" w:eastAsia="Calibri" w:hAnsi="Lato" w:cs="Calibri"/>
          <w:lang w:val="it-IT" w:eastAsia="it-IT"/>
        </w:rPr>
        <w:t>Grande distribuzione</w:t>
      </w:r>
      <w:r w:rsidR="00521B6D" w:rsidRPr="006E215A">
        <w:rPr>
          <w:rFonts w:ascii="Lato" w:eastAsia="Calibri" w:hAnsi="Lato" w:cs="Calibri"/>
          <w:lang w:val="it-IT" w:eastAsia="it-IT"/>
        </w:rPr>
        <w:t xml:space="preserve"> </w:t>
      </w:r>
      <w:r w:rsidR="001B190A">
        <w:rPr>
          <w:rFonts w:ascii="Lato" w:eastAsia="Calibri" w:hAnsi="Lato" w:cs="Calibri"/>
          <w:lang w:val="it-IT" w:eastAsia="it-IT"/>
        </w:rPr>
        <w:t xml:space="preserve">e produttori </w:t>
      </w:r>
      <w:r w:rsidR="00521B6D" w:rsidRPr="00BF4B11">
        <w:rPr>
          <w:rFonts w:ascii="Lato" w:hAnsi="Lato"/>
          <w:lang w:val="it-IT"/>
        </w:rPr>
        <w:t>per offrire un paniere di beni di largo consumo, fra cui molti beni alimentari, a prezzi ribassati.</w:t>
      </w:r>
      <w:r w:rsidR="00521B6D" w:rsidRPr="00BF4B11">
        <w:rPr>
          <w:rFonts w:ascii="Lato" w:eastAsia="Calibri" w:hAnsi="Lato" w:cs="Calibri"/>
          <w:lang w:val="it-IT" w:eastAsia="it-IT"/>
        </w:rPr>
        <w:t xml:space="preserve"> A</w:t>
      </w:r>
      <w:r w:rsidR="00BF4B11" w:rsidRPr="00BF4B11">
        <w:rPr>
          <w:rFonts w:ascii="Lato" w:eastAsia="Calibri" w:hAnsi="Lato" w:cs="Calibri"/>
          <w:lang w:val="it-IT" w:eastAsia="it-IT"/>
        </w:rPr>
        <w:t>l fine di verificare l’effettivo risparmio per i cittadini, A</w:t>
      </w:r>
      <w:r w:rsidR="00521B6D" w:rsidRPr="00BF4B11">
        <w:rPr>
          <w:rFonts w:ascii="Lato" w:eastAsia="Calibri" w:hAnsi="Lato" w:cs="Calibri"/>
          <w:lang w:val="it-IT" w:eastAsia="it-IT"/>
        </w:rPr>
        <w:t xml:space="preserve">ltroconsumo </w:t>
      </w:r>
      <w:r w:rsidR="00BF4B11" w:rsidRPr="00BF4B11">
        <w:rPr>
          <w:rFonts w:ascii="Lato" w:eastAsia="Calibri" w:hAnsi="Lato" w:cs="Calibri"/>
          <w:lang w:val="it-IT" w:eastAsia="it-IT"/>
        </w:rPr>
        <w:t xml:space="preserve">ha rilevato i </w:t>
      </w:r>
      <w:hyperlink r:id="rId7" w:history="1">
        <w:r w:rsidR="00BF4B11" w:rsidRPr="00BB592C">
          <w:rPr>
            <w:rStyle w:val="Collegamentoipertestuale"/>
            <w:rFonts w:ascii="Lato" w:eastAsia="Calibri" w:hAnsi="Lato" w:cs="Calibri"/>
            <w:lang w:val="it-IT" w:eastAsia="it-IT"/>
          </w:rPr>
          <w:t>prezzi</w:t>
        </w:r>
      </w:hyperlink>
      <w:r w:rsidR="00BF4B11" w:rsidRPr="00BF4B11">
        <w:rPr>
          <w:rFonts w:ascii="Lato" w:eastAsia="Calibri" w:hAnsi="Lato" w:cs="Calibri"/>
          <w:lang w:val="it-IT" w:eastAsia="it-IT"/>
        </w:rPr>
        <w:t xml:space="preserve"> di </w:t>
      </w:r>
      <w:r w:rsidR="00BF4B11" w:rsidRPr="00527CC1">
        <w:rPr>
          <w:rFonts w:ascii="Lato" w:eastAsia="Calibri" w:hAnsi="Lato" w:cs="Calibri"/>
          <w:b/>
          <w:bCs/>
          <w:lang w:val="it-IT" w:eastAsia="it-IT"/>
        </w:rPr>
        <w:t>125 categorie di prodotto</w:t>
      </w:r>
      <w:r w:rsidR="00BF4B11" w:rsidRPr="00BF4B11">
        <w:rPr>
          <w:rFonts w:ascii="Lato" w:eastAsia="Calibri" w:hAnsi="Lato" w:cs="Calibri"/>
          <w:lang w:val="it-IT" w:eastAsia="it-IT"/>
        </w:rPr>
        <w:t xml:space="preserve"> in </w:t>
      </w:r>
      <w:r w:rsidR="00BF4B11" w:rsidRPr="00527CC1">
        <w:rPr>
          <w:rFonts w:ascii="Lato" w:eastAsia="Calibri" w:hAnsi="Lato" w:cs="Calibri"/>
          <w:b/>
          <w:bCs/>
          <w:lang w:val="it-IT" w:eastAsia="it-IT"/>
        </w:rPr>
        <w:t xml:space="preserve">15 punti vendita di 8 catene </w:t>
      </w:r>
      <w:r w:rsidR="00BF4B11" w:rsidRPr="006E215A">
        <w:rPr>
          <w:rFonts w:ascii="Lato" w:eastAsia="Calibri" w:hAnsi="Lato" w:cs="Calibri"/>
          <w:b/>
          <w:bCs/>
          <w:lang w:val="it-IT" w:eastAsia="it-IT"/>
        </w:rPr>
        <w:t>(super, iper e discount)</w:t>
      </w:r>
      <w:r w:rsidR="00BF4B11" w:rsidRPr="006E215A">
        <w:rPr>
          <w:rFonts w:ascii="Lato" w:eastAsia="Calibri" w:hAnsi="Lato" w:cs="Calibri"/>
          <w:lang w:val="it-IT" w:eastAsia="it-IT"/>
        </w:rPr>
        <w:t xml:space="preserve"> tra </w:t>
      </w:r>
      <w:r w:rsidR="00BF4B11" w:rsidRPr="006E215A">
        <w:rPr>
          <w:rFonts w:ascii="Lato" w:eastAsia="Calibri" w:hAnsi="Lato" w:cs="Calibri"/>
          <w:b/>
          <w:bCs/>
          <w:lang w:val="it-IT" w:eastAsia="it-IT"/>
        </w:rPr>
        <w:t>Roma </w:t>
      </w:r>
      <w:r w:rsidR="00BF4B11" w:rsidRPr="006E215A">
        <w:rPr>
          <w:rFonts w:ascii="Lato" w:eastAsia="Calibri" w:hAnsi="Lato" w:cs="Calibri"/>
          <w:lang w:val="it-IT" w:eastAsia="it-IT"/>
        </w:rPr>
        <w:t>e </w:t>
      </w:r>
      <w:r w:rsidR="00BF4B11" w:rsidRPr="006E215A">
        <w:rPr>
          <w:rFonts w:ascii="Lato" w:eastAsia="Calibri" w:hAnsi="Lato" w:cs="Calibri"/>
          <w:b/>
          <w:bCs/>
          <w:lang w:val="it-IT" w:eastAsia="it-IT"/>
        </w:rPr>
        <w:t>Milano</w:t>
      </w:r>
      <w:r w:rsidR="00BF4B11" w:rsidRPr="00BF4B11">
        <w:rPr>
          <w:rFonts w:ascii="Lato" w:eastAsia="Calibri" w:hAnsi="Lato" w:cs="Calibri"/>
          <w:lang w:val="it-IT" w:eastAsia="it-IT"/>
        </w:rPr>
        <w:t xml:space="preserve">, verificando </w:t>
      </w:r>
      <w:r w:rsidR="00BF4B11" w:rsidRPr="006E215A">
        <w:rPr>
          <w:rFonts w:ascii="Lato" w:eastAsia="Calibri" w:hAnsi="Lato" w:cs="Calibri"/>
          <w:b/>
          <w:bCs/>
          <w:lang w:val="it-IT" w:eastAsia="it-IT"/>
        </w:rPr>
        <w:t>quali tip</w:t>
      </w:r>
      <w:r w:rsidR="008255F8">
        <w:rPr>
          <w:rFonts w:ascii="Lato" w:eastAsia="Calibri" w:hAnsi="Lato" w:cs="Calibri"/>
          <w:b/>
          <w:bCs/>
          <w:lang w:val="it-IT" w:eastAsia="it-IT"/>
        </w:rPr>
        <w:t>ologie</w:t>
      </w:r>
      <w:r w:rsidR="00BF4B11" w:rsidRPr="006E215A">
        <w:rPr>
          <w:rFonts w:ascii="Lato" w:eastAsia="Calibri" w:hAnsi="Lato" w:cs="Calibri"/>
          <w:b/>
          <w:bCs/>
          <w:lang w:val="it-IT" w:eastAsia="it-IT"/>
        </w:rPr>
        <w:t xml:space="preserve"> di prodotto</w:t>
      </w:r>
      <w:r w:rsidR="00BF4B11" w:rsidRPr="006E215A">
        <w:rPr>
          <w:rFonts w:ascii="Lato" w:eastAsia="Calibri" w:hAnsi="Lato" w:cs="Calibri"/>
          <w:lang w:val="it-IT" w:eastAsia="it-IT"/>
        </w:rPr>
        <w:t> sono stati inseriti nel carrello e qual</w:t>
      </w:r>
      <w:r w:rsidR="00113C6A">
        <w:rPr>
          <w:rFonts w:ascii="Lato" w:eastAsia="Calibri" w:hAnsi="Lato" w:cs="Calibri"/>
          <w:lang w:val="it-IT" w:eastAsia="it-IT"/>
        </w:rPr>
        <w:t>e</w:t>
      </w:r>
      <w:r w:rsidR="00BF4B11" w:rsidRPr="006E215A">
        <w:rPr>
          <w:rFonts w:ascii="Lato" w:eastAsia="Calibri" w:hAnsi="Lato" w:cs="Calibri"/>
          <w:lang w:val="it-IT" w:eastAsia="it-IT"/>
        </w:rPr>
        <w:t xml:space="preserve"> </w:t>
      </w:r>
      <w:r w:rsidR="00113C6A">
        <w:rPr>
          <w:rFonts w:ascii="Lato" w:eastAsia="Calibri" w:hAnsi="Lato" w:cs="Calibri"/>
          <w:lang w:val="it-IT" w:eastAsia="it-IT"/>
        </w:rPr>
        <w:t>sia</w:t>
      </w:r>
      <w:r w:rsidR="00BF4B11" w:rsidRPr="006E215A">
        <w:rPr>
          <w:rFonts w:ascii="Lato" w:eastAsia="Calibri" w:hAnsi="Lato" w:cs="Calibri"/>
          <w:lang w:val="it-IT" w:eastAsia="it-IT"/>
        </w:rPr>
        <w:t xml:space="preserve"> l’</w:t>
      </w:r>
      <w:r w:rsidR="00BF4B11" w:rsidRPr="006E215A">
        <w:rPr>
          <w:rFonts w:ascii="Lato" w:eastAsia="Calibri" w:hAnsi="Lato" w:cs="Calibri"/>
          <w:b/>
          <w:bCs/>
          <w:lang w:val="it-IT" w:eastAsia="it-IT"/>
        </w:rPr>
        <w:t xml:space="preserve">andamento dei </w:t>
      </w:r>
      <w:r w:rsidR="00113C6A" w:rsidRPr="006E215A">
        <w:rPr>
          <w:rFonts w:ascii="Lato" w:eastAsia="Calibri" w:hAnsi="Lato" w:cs="Calibri"/>
          <w:b/>
          <w:bCs/>
          <w:lang w:val="it-IT" w:eastAsia="it-IT"/>
        </w:rPr>
        <w:t xml:space="preserve">prezzi </w:t>
      </w:r>
      <w:r w:rsidR="00113C6A" w:rsidRPr="00113C6A">
        <w:rPr>
          <w:rFonts w:ascii="Lato" w:eastAsia="Calibri" w:hAnsi="Lato" w:cs="Calibri"/>
          <w:lang w:val="it-IT" w:eastAsia="it-IT"/>
        </w:rPr>
        <w:t>rispetto</w:t>
      </w:r>
      <w:r w:rsidR="00BF4B11" w:rsidRPr="006E215A">
        <w:rPr>
          <w:rFonts w:ascii="Lato" w:eastAsia="Calibri" w:hAnsi="Lato" w:cs="Calibri"/>
          <w:lang w:val="it-IT" w:eastAsia="it-IT"/>
        </w:rPr>
        <w:t xml:space="preserve"> al passato </w:t>
      </w:r>
      <w:r w:rsidR="00113C6A">
        <w:rPr>
          <w:rFonts w:ascii="Lato" w:eastAsia="Calibri" w:hAnsi="Lato" w:cs="Calibri"/>
          <w:lang w:val="it-IT" w:eastAsia="it-IT"/>
        </w:rPr>
        <w:t xml:space="preserve">e </w:t>
      </w:r>
      <w:r w:rsidR="00BF4B11" w:rsidRPr="006E215A">
        <w:rPr>
          <w:rFonts w:ascii="Lato" w:eastAsia="Calibri" w:hAnsi="Lato" w:cs="Calibri"/>
          <w:lang w:val="it-IT" w:eastAsia="it-IT"/>
        </w:rPr>
        <w:t xml:space="preserve">rispetto alla media degli altri prodotti della categoria, non coinvolti dall’iniziativa. </w:t>
      </w:r>
    </w:p>
    <w:p w14:paraId="3C1B542B" w14:textId="4EE6CEDB" w:rsidR="006E215A" w:rsidRDefault="00527CC1" w:rsidP="00527CC1">
      <w:pPr>
        <w:shd w:val="clear" w:color="auto" w:fill="FFFFFF"/>
        <w:spacing w:before="100" w:beforeAutospacing="1" w:after="100" w:afterAutospacing="1" w:line="240" w:lineRule="auto"/>
        <w:jc w:val="both"/>
        <w:rPr>
          <w:rFonts w:ascii="Lato" w:eastAsia="Calibri" w:hAnsi="Lato" w:cs="Calibri"/>
          <w:lang w:val="it-IT" w:eastAsia="it-IT"/>
        </w:rPr>
      </w:pPr>
      <w:r>
        <w:rPr>
          <w:rFonts w:ascii="Lato" w:eastAsia="Calibri" w:hAnsi="Lato" w:cs="Calibri"/>
          <w:lang w:val="it-IT" w:eastAsia="it-IT"/>
        </w:rPr>
        <w:t>D</w:t>
      </w:r>
      <w:r w:rsidRPr="00527CC1">
        <w:rPr>
          <w:rFonts w:ascii="Lato" w:eastAsia="Calibri" w:hAnsi="Lato" w:cs="Calibri"/>
          <w:lang w:val="it-IT" w:eastAsia="it-IT"/>
        </w:rPr>
        <w:t xml:space="preserve">all’analisi emerge che </w:t>
      </w:r>
      <w:r w:rsidRPr="00527CC1">
        <w:rPr>
          <w:rFonts w:ascii="Lato" w:eastAsia="Calibri" w:hAnsi="Lato" w:cs="Calibri"/>
          <w:b/>
          <w:bCs/>
          <w:lang w:val="it-IT" w:eastAsia="it-IT"/>
        </w:rPr>
        <w:t xml:space="preserve">il </w:t>
      </w:r>
      <w:r w:rsidRPr="006E215A">
        <w:rPr>
          <w:rFonts w:ascii="Lato" w:eastAsia="Calibri" w:hAnsi="Lato" w:cs="Calibri"/>
          <w:b/>
          <w:bCs/>
          <w:lang w:val="it-IT" w:eastAsia="it-IT"/>
        </w:rPr>
        <w:t>trimestre antinflazione non ha generato sufficienti occasioni di risparmio in più rispetto a prima</w:t>
      </w:r>
      <w:r w:rsidRPr="006E215A">
        <w:rPr>
          <w:rFonts w:ascii="Lato" w:eastAsia="Calibri" w:hAnsi="Lato" w:cs="Calibri"/>
          <w:lang w:val="it-IT" w:eastAsia="it-IT"/>
        </w:rPr>
        <w:t xml:space="preserve"> perché, nel frattempo, il numero delle altre classiche offerte della grande distribuzione </w:t>
      </w:r>
      <w:r w:rsidRPr="006E215A">
        <w:rPr>
          <w:rFonts w:ascii="Lato" w:eastAsia="Calibri" w:hAnsi="Lato" w:cs="Calibri"/>
          <w:b/>
          <w:bCs/>
          <w:lang w:val="it-IT" w:eastAsia="it-IT"/>
        </w:rPr>
        <w:t>si è ridotto di ben il 36% in media</w:t>
      </w:r>
      <w:r w:rsidRPr="006E215A">
        <w:rPr>
          <w:rFonts w:ascii="Lato" w:eastAsia="Calibri" w:hAnsi="Lato" w:cs="Calibri"/>
          <w:lang w:val="it-IT" w:eastAsia="it-IT"/>
        </w:rPr>
        <w:t>. </w:t>
      </w:r>
      <w:r w:rsidR="00DE73BE">
        <w:rPr>
          <w:rFonts w:ascii="Lato" w:eastAsia="Calibri" w:hAnsi="Lato" w:cs="Calibri"/>
          <w:lang w:val="it-IT" w:eastAsia="it-IT"/>
        </w:rPr>
        <w:t>I</w:t>
      </w:r>
      <w:r w:rsidR="00DE73BE" w:rsidRPr="00DE73BE">
        <w:rPr>
          <w:rFonts w:ascii="Lato" w:eastAsia="Calibri" w:hAnsi="Lato" w:cs="Calibri"/>
          <w:lang w:val="it-IT" w:eastAsia="it-IT"/>
        </w:rPr>
        <w:t xml:space="preserve"> prezzi dei prodotti nel carrello tricolore, </w:t>
      </w:r>
      <w:r w:rsidR="00DE73BE" w:rsidRPr="00DE73BE">
        <w:rPr>
          <w:rFonts w:ascii="Lato" w:eastAsia="Calibri" w:hAnsi="Lato" w:cs="Calibri"/>
          <w:b/>
          <w:bCs/>
          <w:lang w:val="it-IT" w:eastAsia="it-IT"/>
        </w:rPr>
        <w:t>quasi sempre della marca del distributore</w:t>
      </w:r>
      <w:r w:rsidR="00DE73BE" w:rsidRPr="00DE73BE">
        <w:rPr>
          <w:rFonts w:ascii="Lato" w:eastAsia="Calibri" w:hAnsi="Lato" w:cs="Calibri"/>
          <w:lang w:val="it-IT" w:eastAsia="it-IT"/>
        </w:rPr>
        <w:t xml:space="preserve">, </w:t>
      </w:r>
      <w:r w:rsidR="00DE73BE" w:rsidRPr="00DE73BE">
        <w:rPr>
          <w:rFonts w:ascii="Lato" w:eastAsia="Calibri" w:hAnsi="Lato" w:cs="Calibri"/>
          <w:b/>
          <w:bCs/>
          <w:lang w:val="it-IT" w:eastAsia="it-IT"/>
        </w:rPr>
        <w:t>sono effettivamente diminuiti</w:t>
      </w:r>
      <w:r w:rsidR="00DE73BE" w:rsidRPr="00DE73BE">
        <w:rPr>
          <w:rFonts w:ascii="Lato" w:eastAsia="Calibri" w:hAnsi="Lato" w:cs="Calibri"/>
          <w:lang w:val="it-IT" w:eastAsia="it-IT"/>
        </w:rPr>
        <w:t xml:space="preserve"> rispetto a maggio/giugno di quest’anno</w:t>
      </w:r>
      <w:r w:rsidR="00DE73BE">
        <w:rPr>
          <w:rFonts w:ascii="Lato" w:eastAsia="Calibri" w:hAnsi="Lato" w:cs="Calibri"/>
          <w:lang w:val="it-IT" w:eastAsia="it-IT"/>
        </w:rPr>
        <w:t xml:space="preserve">, </w:t>
      </w:r>
      <w:r w:rsidR="00DE73BE" w:rsidRPr="00DE73BE">
        <w:rPr>
          <w:rFonts w:ascii="Lato" w:eastAsia="Calibri" w:hAnsi="Lato" w:cs="Calibri"/>
          <w:lang w:val="it-IT" w:eastAsia="it-IT"/>
        </w:rPr>
        <w:t xml:space="preserve">però </w:t>
      </w:r>
      <w:r w:rsidR="00DE73BE">
        <w:rPr>
          <w:rFonts w:ascii="Lato" w:eastAsia="Calibri" w:hAnsi="Lato" w:cs="Calibri"/>
          <w:b/>
          <w:bCs/>
          <w:lang w:val="it-IT" w:eastAsia="it-IT"/>
        </w:rPr>
        <w:t>n</w:t>
      </w:r>
      <w:r w:rsidRPr="006E215A">
        <w:rPr>
          <w:rFonts w:ascii="Lato" w:eastAsia="Calibri" w:hAnsi="Lato" w:cs="Calibri"/>
          <w:b/>
          <w:bCs/>
          <w:lang w:val="it-IT" w:eastAsia="it-IT"/>
        </w:rPr>
        <w:t xml:space="preserve">el 78% dei casi non </w:t>
      </w:r>
      <w:r w:rsidR="00DE73BE">
        <w:rPr>
          <w:rFonts w:ascii="Lato" w:eastAsia="Calibri" w:hAnsi="Lato" w:cs="Calibri"/>
          <w:b/>
          <w:bCs/>
          <w:lang w:val="it-IT" w:eastAsia="it-IT"/>
        </w:rPr>
        <w:t>risultano</w:t>
      </w:r>
      <w:r w:rsidRPr="006E215A">
        <w:rPr>
          <w:rFonts w:ascii="Lato" w:eastAsia="Calibri" w:hAnsi="Lato" w:cs="Calibri"/>
          <w:b/>
          <w:bCs/>
          <w:lang w:val="it-IT" w:eastAsia="it-IT"/>
        </w:rPr>
        <w:t xml:space="preserve"> i più economici sullo scaffale</w:t>
      </w:r>
      <w:r w:rsidRPr="006E215A">
        <w:rPr>
          <w:rFonts w:ascii="Lato" w:eastAsia="Calibri" w:hAnsi="Lato" w:cs="Calibri"/>
          <w:lang w:val="it-IT" w:eastAsia="it-IT"/>
        </w:rPr>
        <w:t>.</w:t>
      </w:r>
      <w:r>
        <w:rPr>
          <w:rFonts w:ascii="Lato" w:eastAsia="Calibri" w:hAnsi="Lato" w:cs="Calibri"/>
          <w:lang w:val="it-IT" w:eastAsia="it-IT"/>
        </w:rPr>
        <w:t xml:space="preserve"> I</w:t>
      </w:r>
      <w:r w:rsidR="006E215A" w:rsidRPr="006E215A">
        <w:rPr>
          <w:rFonts w:ascii="Lato" w:eastAsia="Calibri" w:hAnsi="Lato" w:cs="Calibri"/>
          <w:lang w:val="it-IT" w:eastAsia="it-IT"/>
        </w:rPr>
        <w:t xml:space="preserve">n media </w:t>
      </w:r>
      <w:r w:rsidR="006E215A" w:rsidRPr="006E215A">
        <w:rPr>
          <w:rFonts w:ascii="Lato" w:eastAsia="Calibri" w:hAnsi="Lato" w:cs="Calibri"/>
          <w:b/>
          <w:bCs/>
          <w:lang w:val="it-IT" w:eastAsia="it-IT"/>
        </w:rPr>
        <w:t>solo 24 categorie</w:t>
      </w:r>
      <w:r w:rsidR="006E215A" w:rsidRPr="006E215A">
        <w:rPr>
          <w:rFonts w:ascii="Lato" w:eastAsia="Calibri" w:hAnsi="Lato" w:cs="Calibri"/>
          <w:lang w:val="it-IT" w:eastAsia="it-IT"/>
        </w:rPr>
        <w:t xml:space="preserve"> </w:t>
      </w:r>
      <w:r w:rsidR="001B190A">
        <w:rPr>
          <w:rFonts w:ascii="Lato" w:eastAsia="Calibri" w:hAnsi="Lato" w:cs="Calibri"/>
          <w:lang w:val="it-IT" w:eastAsia="it-IT"/>
        </w:rPr>
        <w:t xml:space="preserve">di prodotto </w:t>
      </w:r>
      <w:r w:rsidR="006E215A" w:rsidRPr="006E215A">
        <w:rPr>
          <w:rFonts w:ascii="Lato" w:eastAsia="Calibri" w:hAnsi="Lato" w:cs="Calibri"/>
          <w:lang w:val="it-IT" w:eastAsia="it-IT"/>
        </w:rPr>
        <w:t xml:space="preserve">beneficiano degli sconti del carrello e </w:t>
      </w:r>
      <w:r w:rsidR="006E215A" w:rsidRPr="006E215A">
        <w:rPr>
          <w:rFonts w:ascii="Lato" w:eastAsia="Calibri" w:hAnsi="Lato" w:cs="Calibri"/>
          <w:b/>
          <w:bCs/>
          <w:lang w:val="it-IT" w:eastAsia="it-IT"/>
        </w:rPr>
        <w:t xml:space="preserve">mancano alimenti importanti come </w:t>
      </w:r>
      <w:r w:rsidR="00C91B7D" w:rsidRPr="00C91B7D">
        <w:rPr>
          <w:rFonts w:ascii="Lato" w:eastAsia="Calibri" w:hAnsi="Lato" w:cs="Calibri"/>
          <w:b/>
          <w:bCs/>
          <w:lang w:val="it-IT" w:eastAsia="it-IT"/>
        </w:rPr>
        <w:t>olio, acqua minerale in bottiglia e tutto il fresco (verdura, carne, pesce freschi)</w:t>
      </w:r>
      <w:r w:rsidR="006E215A" w:rsidRPr="006E215A">
        <w:rPr>
          <w:rFonts w:ascii="Lato" w:eastAsia="Calibri" w:hAnsi="Lato" w:cs="Calibri"/>
          <w:lang w:val="it-IT" w:eastAsia="it-IT"/>
        </w:rPr>
        <w:t xml:space="preserve">. </w:t>
      </w:r>
    </w:p>
    <w:p w14:paraId="318CEFA6" w14:textId="36B7E701" w:rsidR="006E215A" w:rsidRDefault="006E215A" w:rsidP="00527CC1">
      <w:pPr>
        <w:shd w:val="clear" w:color="auto" w:fill="FFFFFF"/>
        <w:spacing w:before="100" w:beforeAutospacing="1" w:after="100" w:afterAutospacing="1" w:line="240" w:lineRule="auto"/>
        <w:jc w:val="both"/>
        <w:rPr>
          <w:rFonts w:ascii="Lato" w:eastAsia="Calibri" w:hAnsi="Lato" w:cs="Calibri"/>
          <w:lang w:val="it-IT" w:eastAsia="it-IT"/>
        </w:rPr>
      </w:pPr>
      <w:r w:rsidRPr="006E215A">
        <w:rPr>
          <w:rFonts w:ascii="Lato" w:eastAsia="Calibri" w:hAnsi="Lato" w:cs="Calibri"/>
          <w:lang w:val="it-IT" w:eastAsia="it-IT"/>
        </w:rPr>
        <w:t>Le </w:t>
      </w:r>
      <w:r w:rsidRPr="006E215A">
        <w:rPr>
          <w:rFonts w:ascii="Lato" w:eastAsia="Calibri" w:hAnsi="Lato" w:cs="Calibri"/>
          <w:b/>
          <w:bCs/>
          <w:lang w:val="it-IT" w:eastAsia="it-IT"/>
        </w:rPr>
        <w:t>catene </w:t>
      </w:r>
      <w:r w:rsidRPr="006E215A">
        <w:rPr>
          <w:rFonts w:ascii="Lato" w:eastAsia="Calibri" w:hAnsi="Lato" w:cs="Calibri"/>
          <w:lang w:val="it-IT" w:eastAsia="it-IT"/>
        </w:rPr>
        <w:t>a cui appartengono i 15 punti vendita visitati sono: </w:t>
      </w:r>
      <w:r w:rsidRPr="006E215A">
        <w:rPr>
          <w:rFonts w:ascii="Lato" w:eastAsia="Calibri" w:hAnsi="Lato" w:cs="Calibri"/>
          <w:b/>
          <w:bCs/>
          <w:lang w:val="it-IT" w:eastAsia="it-IT"/>
        </w:rPr>
        <w:t xml:space="preserve">Conad, Eurospin, Esselunga, Il Gigante, Lidl, Panorama, Penny Market, </w:t>
      </w:r>
      <w:proofErr w:type="spellStart"/>
      <w:r w:rsidRPr="006E215A">
        <w:rPr>
          <w:rFonts w:ascii="Lato" w:eastAsia="Calibri" w:hAnsi="Lato" w:cs="Calibri"/>
          <w:b/>
          <w:bCs/>
          <w:lang w:val="it-IT" w:eastAsia="it-IT"/>
        </w:rPr>
        <w:t>Supercoop</w:t>
      </w:r>
      <w:proofErr w:type="spellEnd"/>
      <w:r w:rsidRPr="006E215A">
        <w:rPr>
          <w:rFonts w:ascii="Lato" w:eastAsia="Calibri" w:hAnsi="Lato" w:cs="Calibri"/>
          <w:b/>
          <w:bCs/>
          <w:lang w:val="it-IT" w:eastAsia="it-IT"/>
        </w:rPr>
        <w:t>/Ipercoop</w:t>
      </w:r>
      <w:r w:rsidRPr="006E215A">
        <w:rPr>
          <w:rFonts w:ascii="Lato" w:eastAsia="Calibri" w:hAnsi="Lato" w:cs="Calibri"/>
          <w:lang w:val="it-IT" w:eastAsia="it-IT"/>
        </w:rPr>
        <w:t xml:space="preserve">; </w:t>
      </w:r>
      <w:r w:rsidR="00B3185E">
        <w:rPr>
          <w:rFonts w:ascii="Lato" w:eastAsia="Calibri" w:hAnsi="Lato" w:cs="Calibri"/>
          <w:lang w:val="it-IT" w:eastAsia="it-IT"/>
        </w:rPr>
        <w:t>è stato</w:t>
      </w:r>
      <w:r w:rsidRPr="006E215A">
        <w:rPr>
          <w:rFonts w:ascii="Lato" w:eastAsia="Calibri" w:hAnsi="Lato" w:cs="Calibri"/>
          <w:lang w:val="it-IT" w:eastAsia="it-IT"/>
        </w:rPr>
        <w:t xml:space="preserve"> rilevato il prezzo di tutti i prodotti presenti a scaffale delle </w:t>
      </w:r>
      <w:r w:rsidRPr="006E215A">
        <w:rPr>
          <w:rFonts w:ascii="Lato" w:eastAsia="Calibri" w:hAnsi="Lato" w:cs="Calibri"/>
          <w:b/>
          <w:bCs/>
          <w:lang w:val="it-IT" w:eastAsia="it-IT"/>
        </w:rPr>
        <w:t>125 categorie di prodotti</w:t>
      </w:r>
      <w:r w:rsidRPr="006E215A">
        <w:rPr>
          <w:rFonts w:ascii="Lato" w:eastAsia="Calibri" w:hAnsi="Lato" w:cs="Calibri"/>
          <w:lang w:val="it-IT" w:eastAsia="it-IT"/>
        </w:rPr>
        <w:t> </w:t>
      </w:r>
      <w:r w:rsidRPr="000948AD">
        <w:rPr>
          <w:rFonts w:ascii="Lato" w:eastAsia="Calibri" w:hAnsi="Lato" w:cs="Calibri"/>
          <w:b/>
          <w:bCs/>
          <w:lang w:val="it-IT" w:eastAsia="it-IT"/>
        </w:rPr>
        <w:t>più rappresentative della spesa delle famiglie italiane</w:t>
      </w:r>
      <w:r w:rsidRPr="006E215A">
        <w:rPr>
          <w:rFonts w:ascii="Lato" w:eastAsia="Calibri" w:hAnsi="Lato" w:cs="Calibri"/>
          <w:lang w:val="it-IT" w:eastAsia="it-IT"/>
        </w:rPr>
        <w:t xml:space="preserve"> (le stesse utilizzate nella annuale</w:t>
      </w:r>
      <w:r w:rsidRPr="006E215A">
        <w:rPr>
          <w:rFonts w:ascii="Lato" w:eastAsia="Calibri" w:hAnsi="Lato" w:cs="Calibri"/>
          <w:color w:val="4A4A4A"/>
          <w:lang w:val="it-IT" w:eastAsia="it-IT"/>
        </w:rPr>
        <w:t> </w:t>
      </w:r>
      <w:hyperlink r:id="rId8" w:history="1">
        <w:r w:rsidRPr="006E215A">
          <w:rPr>
            <w:rFonts w:ascii="Lato" w:eastAsia="Calibri" w:hAnsi="Lato" w:cs="Calibri"/>
            <w:color w:val="0171A1"/>
            <w:u w:val="single"/>
            <w:lang w:val="it-IT" w:eastAsia="it-IT"/>
          </w:rPr>
          <w:t>inchiesta sui supermercati</w:t>
        </w:r>
      </w:hyperlink>
      <w:r w:rsidR="00B3185E">
        <w:rPr>
          <w:rFonts w:ascii="Lato" w:eastAsia="Calibri" w:hAnsi="Lato" w:cs="Calibri"/>
          <w:color w:val="4A4A4A"/>
          <w:lang w:val="it-IT" w:eastAsia="it-IT"/>
        </w:rPr>
        <w:t xml:space="preserve"> dell’Organizzazione</w:t>
      </w:r>
      <w:r w:rsidRPr="006E215A">
        <w:rPr>
          <w:rFonts w:ascii="Lato" w:eastAsia="Calibri" w:hAnsi="Lato" w:cs="Calibri"/>
          <w:lang w:val="it-IT" w:eastAsia="it-IT"/>
        </w:rPr>
        <w:t>): dai prodotti alimentari a quelli per la cura della casa e della persona fino al cibo per animali.</w:t>
      </w:r>
    </w:p>
    <w:p w14:paraId="61F3F5A7" w14:textId="19159E46" w:rsidR="0099560B" w:rsidRPr="0099560B" w:rsidRDefault="0099560B" w:rsidP="000948AD">
      <w:pPr>
        <w:shd w:val="clear" w:color="auto" w:fill="FFFFFF"/>
        <w:spacing w:before="100" w:beforeAutospacing="1" w:after="100" w:afterAutospacing="1" w:line="240" w:lineRule="auto"/>
        <w:rPr>
          <w:rFonts w:ascii="Lato" w:eastAsia="Calibri" w:hAnsi="Lato" w:cs="Calibri"/>
          <w:b/>
          <w:bCs/>
          <w:lang w:val="it-IT" w:eastAsia="it-IT"/>
        </w:rPr>
      </w:pPr>
      <w:r w:rsidRPr="0099560B">
        <w:rPr>
          <w:rFonts w:ascii="Lato" w:eastAsia="Calibri" w:hAnsi="Lato" w:cs="Calibri"/>
          <w:b/>
          <w:bCs/>
          <w:lang w:val="it-IT" w:eastAsia="it-IT"/>
        </w:rPr>
        <w:t>PRODOTTI IN OFFERTA, IL NUMERO È AUMENT</w:t>
      </w:r>
      <w:r>
        <w:rPr>
          <w:rFonts w:ascii="Lato" w:eastAsia="Calibri" w:hAnsi="Lato" w:cs="Calibri"/>
          <w:b/>
          <w:bCs/>
          <w:lang w:val="it-IT" w:eastAsia="it-IT"/>
        </w:rPr>
        <w:t>AT</w:t>
      </w:r>
      <w:r w:rsidRPr="0099560B">
        <w:rPr>
          <w:rFonts w:ascii="Lato" w:eastAsia="Calibri" w:hAnsi="Lato" w:cs="Calibri"/>
          <w:b/>
          <w:bCs/>
          <w:lang w:val="it-IT" w:eastAsia="it-IT"/>
        </w:rPr>
        <w:t>O SOLO DELL’11% RISPETTO AI MESI PRECEDENTI</w:t>
      </w:r>
      <w:r w:rsidR="00B13C6B">
        <w:rPr>
          <w:rFonts w:ascii="Lato" w:eastAsia="Calibri" w:hAnsi="Lato" w:cs="Calibri"/>
          <w:b/>
          <w:bCs/>
          <w:lang w:val="it-IT" w:eastAsia="it-IT"/>
        </w:rPr>
        <w:t xml:space="preserve">. </w:t>
      </w:r>
      <w:r w:rsidR="00113C6A">
        <w:rPr>
          <w:rFonts w:ascii="Lato" w:eastAsia="Calibri" w:hAnsi="Lato" w:cs="Calibri"/>
          <w:b/>
          <w:bCs/>
          <w:lang w:val="it-IT" w:eastAsia="it-IT"/>
        </w:rPr>
        <w:t xml:space="preserve">LE </w:t>
      </w:r>
      <w:r w:rsidR="00B13C6B">
        <w:rPr>
          <w:rFonts w:ascii="Lato" w:eastAsia="Calibri" w:hAnsi="Lato" w:cs="Calibri"/>
          <w:b/>
          <w:bCs/>
          <w:lang w:val="it-IT" w:eastAsia="it-IT"/>
        </w:rPr>
        <w:t>ALTRE PROMOZIONI SONO DIMINUITE</w:t>
      </w:r>
    </w:p>
    <w:p w14:paraId="421A7A04" w14:textId="78C66573" w:rsidR="00C91B7D" w:rsidRDefault="006115D8" w:rsidP="00F512DB">
      <w:pPr>
        <w:shd w:val="clear" w:color="auto" w:fill="FFFFFF"/>
        <w:spacing w:before="100" w:beforeAutospacing="1" w:after="100" w:afterAutospacing="1" w:line="240" w:lineRule="auto"/>
        <w:jc w:val="both"/>
        <w:rPr>
          <w:rFonts w:ascii="Lato" w:eastAsia="Calibri" w:hAnsi="Lato" w:cs="Calibri"/>
          <w:lang w:val="it-IT" w:eastAsia="it-IT"/>
        </w:rPr>
      </w:pPr>
      <w:r>
        <w:rPr>
          <w:rFonts w:ascii="Lato" w:eastAsia="Calibri" w:hAnsi="Lato" w:cs="Calibri"/>
          <w:lang w:val="it-IT" w:eastAsia="it-IT"/>
        </w:rPr>
        <w:t xml:space="preserve">Il </w:t>
      </w:r>
      <w:r w:rsidR="00C91B7D" w:rsidRPr="00C91B7D">
        <w:rPr>
          <w:rFonts w:ascii="Lato" w:eastAsia="Calibri" w:hAnsi="Lato" w:cs="Calibri"/>
          <w:lang w:val="it-IT" w:eastAsia="it-IT"/>
        </w:rPr>
        <w:t xml:space="preserve">paniere tricolore sta </w:t>
      </w:r>
      <w:r>
        <w:rPr>
          <w:rFonts w:ascii="Lato" w:eastAsia="Calibri" w:hAnsi="Lato" w:cs="Calibri"/>
          <w:lang w:val="it-IT" w:eastAsia="it-IT"/>
        </w:rPr>
        <w:t xml:space="preserve">effettivamente </w:t>
      </w:r>
      <w:r w:rsidR="00C91B7D" w:rsidRPr="00C91B7D">
        <w:rPr>
          <w:rFonts w:ascii="Lato" w:eastAsia="Calibri" w:hAnsi="Lato" w:cs="Calibri"/>
          <w:lang w:val="it-IT" w:eastAsia="it-IT"/>
        </w:rPr>
        <w:t>portando </w:t>
      </w:r>
      <w:r w:rsidR="00C91B7D" w:rsidRPr="00C91B7D">
        <w:rPr>
          <w:rFonts w:ascii="Lato" w:eastAsia="Calibri" w:hAnsi="Lato" w:cs="Calibri"/>
          <w:b/>
          <w:bCs/>
          <w:lang w:val="it-IT" w:eastAsia="it-IT"/>
        </w:rPr>
        <w:t xml:space="preserve">occasioni di risparmio </w:t>
      </w:r>
      <w:r w:rsidR="00113C6A">
        <w:rPr>
          <w:rFonts w:ascii="Lato" w:eastAsia="Calibri" w:hAnsi="Lato" w:cs="Calibri"/>
          <w:b/>
          <w:bCs/>
          <w:lang w:val="it-IT" w:eastAsia="it-IT"/>
        </w:rPr>
        <w:t xml:space="preserve">maggiori </w:t>
      </w:r>
      <w:r w:rsidR="00C91B7D" w:rsidRPr="00C91B7D">
        <w:rPr>
          <w:rFonts w:ascii="Lato" w:eastAsia="Calibri" w:hAnsi="Lato" w:cs="Calibri"/>
          <w:lang w:val="it-IT" w:eastAsia="it-IT"/>
        </w:rPr>
        <w:t>rispetto</w:t>
      </w:r>
      <w:r>
        <w:rPr>
          <w:rFonts w:ascii="Lato" w:eastAsia="Calibri" w:hAnsi="Lato" w:cs="Calibri"/>
          <w:lang w:val="it-IT" w:eastAsia="it-IT"/>
        </w:rPr>
        <w:t xml:space="preserve"> </w:t>
      </w:r>
      <w:r w:rsidR="00C91B7D" w:rsidRPr="00C91B7D">
        <w:rPr>
          <w:rFonts w:ascii="Lato" w:eastAsia="Calibri" w:hAnsi="Lato" w:cs="Calibri"/>
          <w:lang w:val="it-IT" w:eastAsia="it-IT"/>
        </w:rPr>
        <w:t>alle </w:t>
      </w:r>
      <w:r w:rsidR="00C91B7D" w:rsidRPr="00C91B7D">
        <w:rPr>
          <w:rFonts w:ascii="Lato" w:eastAsia="Calibri" w:hAnsi="Lato" w:cs="Calibri"/>
          <w:b/>
          <w:bCs/>
          <w:lang w:val="it-IT" w:eastAsia="it-IT"/>
        </w:rPr>
        <w:t>normali offerte e promozioni</w:t>
      </w:r>
      <w:r w:rsidR="00C91B7D" w:rsidRPr="00C91B7D">
        <w:rPr>
          <w:rFonts w:ascii="Lato" w:eastAsia="Calibri" w:hAnsi="Lato" w:cs="Calibri"/>
          <w:lang w:val="it-IT" w:eastAsia="it-IT"/>
        </w:rPr>
        <w:t> </w:t>
      </w:r>
      <w:r>
        <w:rPr>
          <w:rFonts w:ascii="Lato" w:eastAsia="Calibri" w:hAnsi="Lato" w:cs="Calibri"/>
          <w:lang w:val="it-IT" w:eastAsia="it-IT"/>
        </w:rPr>
        <w:t>del</w:t>
      </w:r>
      <w:r w:rsidR="00C91B7D" w:rsidRPr="00C91B7D">
        <w:rPr>
          <w:rFonts w:ascii="Lato" w:eastAsia="Calibri" w:hAnsi="Lato" w:cs="Calibri"/>
          <w:lang w:val="it-IT" w:eastAsia="it-IT"/>
        </w:rPr>
        <w:t>la grande distribuzione?</w:t>
      </w:r>
      <w:r>
        <w:rPr>
          <w:rFonts w:ascii="Lato" w:eastAsia="Calibri" w:hAnsi="Lato" w:cs="Calibri"/>
          <w:lang w:val="it-IT" w:eastAsia="it-IT"/>
        </w:rPr>
        <w:t xml:space="preserve"> </w:t>
      </w:r>
      <w:r w:rsidR="00113C6A">
        <w:rPr>
          <w:rFonts w:ascii="Lato" w:eastAsia="Calibri" w:hAnsi="Lato" w:cs="Calibri"/>
          <w:lang w:val="it-IT" w:eastAsia="it-IT"/>
        </w:rPr>
        <w:t>L</w:t>
      </w:r>
      <w:r>
        <w:rPr>
          <w:rFonts w:ascii="Lato" w:eastAsia="Calibri" w:hAnsi="Lato" w:cs="Calibri"/>
          <w:lang w:val="it-IT" w:eastAsia="it-IT"/>
        </w:rPr>
        <w:t xml:space="preserve">’Organizzazione ha provveduto a contare </w:t>
      </w:r>
      <w:r w:rsidR="00C91B7D" w:rsidRPr="00C91B7D">
        <w:rPr>
          <w:rFonts w:ascii="Lato" w:eastAsia="Calibri" w:hAnsi="Lato" w:cs="Calibri"/>
          <w:lang w:val="it-IT" w:eastAsia="it-IT"/>
        </w:rPr>
        <w:t>i prodotti in offerta (</w:t>
      </w:r>
      <w:r w:rsidR="00C91B7D" w:rsidRPr="00C91B7D">
        <w:rPr>
          <w:rFonts w:ascii="Lato" w:eastAsia="Calibri" w:hAnsi="Lato" w:cs="Calibri"/>
          <w:b/>
          <w:bCs/>
          <w:lang w:val="it-IT" w:eastAsia="it-IT"/>
        </w:rPr>
        <w:t>cart</w:t>
      </w:r>
      <w:r w:rsidR="008255F8">
        <w:rPr>
          <w:rFonts w:ascii="Lato" w:eastAsia="Calibri" w:hAnsi="Lato" w:cs="Calibri"/>
          <w:b/>
          <w:bCs/>
          <w:lang w:val="it-IT" w:eastAsia="it-IT"/>
        </w:rPr>
        <w:t>a</w:t>
      </w:r>
      <w:r w:rsidR="00C91B7D" w:rsidRPr="00C91B7D">
        <w:rPr>
          <w:rFonts w:ascii="Lato" w:eastAsia="Calibri" w:hAnsi="Lato" w:cs="Calibri"/>
          <w:b/>
          <w:bCs/>
          <w:lang w:val="it-IT" w:eastAsia="it-IT"/>
        </w:rPr>
        <w:t xml:space="preserve"> fedeltà, prezzo basso sempre, promozioni a tempo e carrello tricolore</w:t>
      </w:r>
      <w:r w:rsidR="00C91B7D" w:rsidRPr="00C91B7D">
        <w:rPr>
          <w:rFonts w:ascii="Lato" w:eastAsia="Calibri" w:hAnsi="Lato" w:cs="Calibri"/>
          <w:lang w:val="it-IT" w:eastAsia="it-IT"/>
        </w:rPr>
        <w:t>) in tutti punti vendita visitati</w:t>
      </w:r>
      <w:r w:rsidR="00F512DB" w:rsidRPr="00F512DB">
        <w:rPr>
          <w:rFonts w:ascii="Lato" w:eastAsia="Calibri" w:hAnsi="Lato" w:cs="Calibri"/>
          <w:lang w:val="it-IT" w:eastAsia="it-IT"/>
        </w:rPr>
        <w:t xml:space="preserve"> e</w:t>
      </w:r>
      <w:r w:rsidR="008255F8">
        <w:rPr>
          <w:rFonts w:ascii="Lato" w:eastAsia="Calibri" w:hAnsi="Lato" w:cs="Calibri"/>
          <w:lang w:val="it-IT" w:eastAsia="it-IT"/>
        </w:rPr>
        <w:t xml:space="preserve"> a </w:t>
      </w:r>
      <w:r w:rsidR="00F512DB" w:rsidRPr="00F512DB">
        <w:rPr>
          <w:rFonts w:ascii="Lato" w:eastAsia="Calibri" w:hAnsi="Lato" w:cs="Calibri"/>
          <w:lang w:val="it-IT" w:eastAsia="it-IT"/>
        </w:rPr>
        <w:t>confronta</w:t>
      </w:r>
      <w:r w:rsidR="008255F8">
        <w:rPr>
          <w:rFonts w:ascii="Lato" w:eastAsia="Calibri" w:hAnsi="Lato" w:cs="Calibri"/>
          <w:lang w:val="it-IT" w:eastAsia="it-IT"/>
        </w:rPr>
        <w:t>rne</w:t>
      </w:r>
      <w:r w:rsidR="00F512DB" w:rsidRPr="00F512DB">
        <w:rPr>
          <w:rFonts w:ascii="Lato" w:eastAsia="Calibri" w:hAnsi="Lato" w:cs="Calibri"/>
          <w:lang w:val="it-IT" w:eastAsia="it-IT"/>
        </w:rPr>
        <w:t xml:space="preserve"> il numero con quello </w:t>
      </w:r>
      <w:r w:rsidR="00C91B7D" w:rsidRPr="00C91B7D">
        <w:rPr>
          <w:rFonts w:ascii="Lato" w:eastAsia="Calibri" w:hAnsi="Lato" w:cs="Calibri"/>
          <w:lang w:val="it-IT" w:eastAsia="it-IT"/>
        </w:rPr>
        <w:t>d</w:t>
      </w:r>
      <w:r w:rsidR="00F512DB" w:rsidRPr="00F512DB">
        <w:rPr>
          <w:rFonts w:ascii="Lato" w:eastAsia="Calibri" w:hAnsi="Lato" w:cs="Calibri"/>
          <w:lang w:val="it-IT" w:eastAsia="it-IT"/>
        </w:rPr>
        <w:t>e</w:t>
      </w:r>
      <w:r>
        <w:rPr>
          <w:rFonts w:ascii="Lato" w:eastAsia="Calibri" w:hAnsi="Lato" w:cs="Calibri"/>
          <w:lang w:val="it-IT" w:eastAsia="it-IT"/>
        </w:rPr>
        <w:t xml:space="preserve">lle promozioni </w:t>
      </w:r>
      <w:r w:rsidR="00C91B7D" w:rsidRPr="00C91B7D">
        <w:rPr>
          <w:rFonts w:ascii="Lato" w:eastAsia="Calibri" w:hAnsi="Lato" w:cs="Calibri"/>
          <w:lang w:val="it-IT" w:eastAsia="it-IT"/>
        </w:rPr>
        <w:t>presenti negli stessi punti vendita nel periodo maggio-giugno, prima del trimestre tricolore.</w:t>
      </w:r>
      <w:r w:rsidR="00F512DB">
        <w:rPr>
          <w:rFonts w:ascii="Calibri" w:eastAsia="Calibri" w:hAnsi="Calibri" w:cs="Calibri"/>
          <w:lang w:val="it-IT" w:eastAsia="it-IT"/>
        </w:rPr>
        <w:t xml:space="preserve"> </w:t>
      </w:r>
      <w:r w:rsidR="00C91B7D" w:rsidRPr="00C91B7D">
        <w:rPr>
          <w:rFonts w:ascii="Lato" w:eastAsia="Calibri" w:hAnsi="Lato" w:cs="Calibri"/>
          <w:b/>
          <w:bCs/>
          <w:lang w:val="it-IT" w:eastAsia="it-IT"/>
        </w:rPr>
        <w:t>Il numero di prodotti in promozione</w:t>
      </w:r>
      <w:r w:rsidR="00C91B7D" w:rsidRPr="00C91B7D">
        <w:rPr>
          <w:rFonts w:ascii="Lato" w:eastAsia="Calibri" w:hAnsi="Lato" w:cs="Calibri"/>
          <w:lang w:val="it-IT" w:eastAsia="it-IT"/>
        </w:rPr>
        <w:t> a ottobre rispetto a maggio/giugno </w:t>
      </w:r>
      <w:r w:rsidR="00C91B7D" w:rsidRPr="00C91B7D">
        <w:rPr>
          <w:rFonts w:ascii="Lato" w:eastAsia="Calibri" w:hAnsi="Lato" w:cs="Calibri"/>
          <w:b/>
          <w:bCs/>
          <w:lang w:val="it-IT" w:eastAsia="it-IT"/>
        </w:rPr>
        <w:t>è aumentato solo dell’11%</w:t>
      </w:r>
      <w:r w:rsidR="00C91B7D" w:rsidRPr="00C91B7D">
        <w:rPr>
          <w:rFonts w:ascii="Lato" w:eastAsia="Calibri" w:hAnsi="Lato" w:cs="Calibri"/>
          <w:lang w:val="it-IT" w:eastAsia="it-IT"/>
        </w:rPr>
        <w:t xml:space="preserve">: è passato da 1.860 a 2.069, cioè solo 209 prodotti in più, benché i prodotti </w:t>
      </w:r>
      <w:r w:rsidR="00C91B7D" w:rsidRPr="00C91B7D">
        <w:rPr>
          <w:rFonts w:ascii="Lato" w:eastAsia="Calibri" w:hAnsi="Lato" w:cs="Calibri"/>
          <w:lang w:val="it-IT" w:eastAsia="it-IT"/>
        </w:rPr>
        <w:lastRenderedPageBreak/>
        <w:t>contrassegnati dal carrello tricolore fossero ben 666.</w:t>
      </w:r>
      <w:r w:rsidR="00337D0A">
        <w:rPr>
          <w:rFonts w:ascii="Lato" w:eastAsia="Calibri" w:hAnsi="Lato" w:cs="Calibri"/>
          <w:lang w:val="it-IT" w:eastAsia="it-IT"/>
        </w:rPr>
        <w:t xml:space="preserve"> </w:t>
      </w:r>
      <w:r w:rsidR="001B190A">
        <w:rPr>
          <w:rFonts w:ascii="Calibri" w:eastAsia="Calibri" w:hAnsi="Calibri" w:cs="Calibri"/>
          <w:lang w:val="it-IT" w:eastAsia="it-IT"/>
        </w:rPr>
        <w:t>Infatti</w:t>
      </w:r>
      <w:r w:rsidR="00337D0A">
        <w:rPr>
          <w:rFonts w:ascii="Lato" w:eastAsia="Calibri" w:hAnsi="Lato" w:cs="Calibri"/>
          <w:b/>
          <w:bCs/>
          <w:lang w:val="it-IT" w:eastAsia="it-IT"/>
        </w:rPr>
        <w:t xml:space="preserve">, </w:t>
      </w:r>
      <w:r w:rsidR="00C91B7D" w:rsidRPr="00C91B7D">
        <w:rPr>
          <w:rFonts w:ascii="Lato" w:eastAsia="Calibri" w:hAnsi="Lato" w:cs="Calibri"/>
          <w:b/>
          <w:bCs/>
          <w:lang w:val="it-IT" w:eastAsia="it-IT"/>
        </w:rPr>
        <w:t>tutte le altre promozioni</w:t>
      </w:r>
      <w:r w:rsidR="00C91B7D" w:rsidRPr="00C91B7D">
        <w:rPr>
          <w:rFonts w:ascii="Lato" w:eastAsia="Calibri" w:hAnsi="Lato" w:cs="Calibri"/>
          <w:lang w:val="it-IT" w:eastAsia="it-IT"/>
        </w:rPr>
        <w:t> – con la comparsa del carrello tricolore – </w:t>
      </w:r>
      <w:r w:rsidR="00C91B7D" w:rsidRPr="00C91B7D">
        <w:rPr>
          <w:rFonts w:ascii="Lato" w:eastAsia="Calibri" w:hAnsi="Lato" w:cs="Calibri"/>
          <w:b/>
          <w:bCs/>
          <w:lang w:val="it-IT" w:eastAsia="it-IT"/>
        </w:rPr>
        <w:t>sono diminuite</w:t>
      </w:r>
      <w:r w:rsidR="00C91B7D" w:rsidRPr="00C91B7D">
        <w:rPr>
          <w:rFonts w:ascii="Lato" w:eastAsia="Calibri" w:hAnsi="Lato" w:cs="Calibri"/>
          <w:lang w:val="it-IT" w:eastAsia="it-IT"/>
        </w:rPr>
        <w:t> molto di numero.</w:t>
      </w:r>
    </w:p>
    <w:p w14:paraId="7AB1E487" w14:textId="0FAED119" w:rsidR="00F512DB" w:rsidRDefault="00F512DB" w:rsidP="00F512DB">
      <w:pPr>
        <w:shd w:val="clear" w:color="auto" w:fill="FFFFFF"/>
        <w:spacing w:before="100" w:beforeAutospacing="1" w:after="100" w:afterAutospacing="1" w:line="240" w:lineRule="auto"/>
        <w:jc w:val="both"/>
        <w:rPr>
          <w:rFonts w:ascii="Lato" w:eastAsia="Calibri" w:hAnsi="Lato" w:cs="Calibri"/>
          <w:lang w:val="it-IT" w:eastAsia="it-IT"/>
        </w:rPr>
      </w:pPr>
    </w:p>
    <w:p w14:paraId="409864E1" w14:textId="77777777" w:rsidR="00113C6A" w:rsidRPr="00C91B7D" w:rsidRDefault="00113C6A" w:rsidP="00F512DB">
      <w:pPr>
        <w:shd w:val="clear" w:color="auto" w:fill="FFFFFF"/>
        <w:spacing w:before="100" w:beforeAutospacing="1" w:after="100" w:afterAutospacing="1" w:line="240" w:lineRule="auto"/>
        <w:jc w:val="both"/>
        <w:rPr>
          <w:rFonts w:ascii="Lato" w:eastAsia="Calibri" w:hAnsi="Lato" w:cs="Calibri"/>
          <w:lang w:val="it-IT" w:eastAsia="it-IT"/>
        </w:rPr>
      </w:pPr>
    </w:p>
    <w:tbl>
      <w:tblPr>
        <w:tblW w:w="0" w:type="auto"/>
        <w:shd w:val="clear" w:color="auto" w:fill="F0F0F0"/>
        <w:tblCellMar>
          <w:left w:w="0" w:type="dxa"/>
          <w:right w:w="0" w:type="dxa"/>
        </w:tblCellMar>
        <w:tblLook w:val="04A0" w:firstRow="1" w:lastRow="0" w:firstColumn="1" w:lastColumn="0" w:noHBand="0" w:noVBand="1"/>
      </w:tblPr>
      <w:tblGrid>
        <w:gridCol w:w="1720"/>
        <w:gridCol w:w="2734"/>
        <w:gridCol w:w="2453"/>
        <w:gridCol w:w="1054"/>
        <w:gridCol w:w="1035"/>
      </w:tblGrid>
      <w:tr w:rsidR="00C91B7D" w:rsidRPr="00C91B7D" w14:paraId="6DA11916" w14:textId="77777777" w:rsidTr="00C91B7D">
        <w:tc>
          <w:tcPr>
            <w:tcW w:w="0" w:type="auto"/>
            <w:tcBorders>
              <w:top w:val="single" w:sz="12" w:space="0" w:color="FFFFFF"/>
              <w:left w:val="single" w:sz="12" w:space="0" w:color="FFFFFF"/>
              <w:bottom w:val="single" w:sz="12" w:space="0" w:color="FFFFFF"/>
              <w:right w:val="single" w:sz="12" w:space="0" w:color="FFFFFF"/>
            </w:tcBorders>
            <w:shd w:val="clear" w:color="auto" w:fill="0F1933"/>
            <w:tcMar>
              <w:top w:w="75" w:type="dxa"/>
              <w:left w:w="75" w:type="dxa"/>
              <w:bottom w:w="75" w:type="dxa"/>
              <w:right w:w="75" w:type="dxa"/>
            </w:tcMar>
            <w:vAlign w:val="center"/>
            <w:hideMark/>
          </w:tcPr>
          <w:p w14:paraId="0CC7CBA1" w14:textId="77777777" w:rsidR="00C91B7D" w:rsidRPr="00C91B7D" w:rsidRDefault="00C91B7D" w:rsidP="00C91B7D">
            <w:pPr>
              <w:spacing w:after="0" w:line="225" w:lineRule="atLeast"/>
              <w:rPr>
                <w:rFonts w:ascii="Calibri" w:eastAsia="Calibri" w:hAnsi="Calibri" w:cs="Calibri"/>
                <w:lang w:val="it-IT"/>
              </w:rPr>
            </w:pPr>
            <w:r w:rsidRPr="00C91B7D">
              <w:rPr>
                <w:rFonts w:ascii="Calibri" w:eastAsia="Calibri" w:hAnsi="Calibri" w:cs="Calibri"/>
                <w:b/>
                <w:bCs/>
                <w:color w:val="FFFFFF"/>
                <w:sz w:val="18"/>
                <w:szCs w:val="18"/>
                <w:lang w:val="it-IT"/>
              </w:rPr>
              <w:t>Tipo di promozione</w:t>
            </w:r>
          </w:p>
        </w:tc>
        <w:tc>
          <w:tcPr>
            <w:tcW w:w="0" w:type="auto"/>
            <w:tcBorders>
              <w:top w:val="single" w:sz="12" w:space="0" w:color="FFFFFF"/>
              <w:left w:val="nil"/>
              <w:bottom w:val="single" w:sz="12" w:space="0" w:color="FFFFFF"/>
              <w:right w:val="single" w:sz="12" w:space="0" w:color="FFFFFF"/>
            </w:tcBorders>
            <w:shd w:val="clear" w:color="auto" w:fill="0F1933"/>
            <w:tcMar>
              <w:top w:w="75" w:type="dxa"/>
              <w:left w:w="75" w:type="dxa"/>
              <w:bottom w:w="75" w:type="dxa"/>
              <w:right w:w="75" w:type="dxa"/>
            </w:tcMar>
            <w:vAlign w:val="center"/>
            <w:hideMark/>
          </w:tcPr>
          <w:p w14:paraId="67DB84F3" w14:textId="77777777" w:rsidR="00C91B7D" w:rsidRPr="00C91B7D" w:rsidRDefault="00C91B7D" w:rsidP="00C91B7D">
            <w:pPr>
              <w:spacing w:after="0" w:line="225" w:lineRule="atLeast"/>
              <w:jc w:val="center"/>
              <w:rPr>
                <w:rFonts w:ascii="Calibri" w:eastAsia="Calibri" w:hAnsi="Calibri" w:cs="Calibri"/>
                <w:lang w:val="it-IT"/>
              </w:rPr>
            </w:pPr>
            <w:r w:rsidRPr="00C91B7D">
              <w:rPr>
                <w:rFonts w:ascii="Calibri" w:eastAsia="Calibri" w:hAnsi="Calibri" w:cs="Calibri"/>
                <w:b/>
                <w:bCs/>
                <w:color w:val="FFFFFF"/>
                <w:sz w:val="18"/>
                <w:szCs w:val="18"/>
                <w:lang w:val="it-IT"/>
              </w:rPr>
              <w:t>Numero prodotti in promozione a maggio-giugno 2023 </w:t>
            </w:r>
          </w:p>
        </w:tc>
        <w:tc>
          <w:tcPr>
            <w:tcW w:w="0" w:type="auto"/>
            <w:tcBorders>
              <w:top w:val="single" w:sz="12" w:space="0" w:color="FFFFFF"/>
              <w:left w:val="nil"/>
              <w:bottom w:val="single" w:sz="12" w:space="0" w:color="FFFFFF"/>
              <w:right w:val="single" w:sz="12" w:space="0" w:color="FFFFFF"/>
            </w:tcBorders>
            <w:shd w:val="clear" w:color="auto" w:fill="0F1933"/>
            <w:tcMar>
              <w:top w:w="75" w:type="dxa"/>
              <w:left w:w="75" w:type="dxa"/>
              <w:bottom w:w="75" w:type="dxa"/>
              <w:right w:w="75" w:type="dxa"/>
            </w:tcMar>
            <w:vAlign w:val="center"/>
            <w:hideMark/>
          </w:tcPr>
          <w:p w14:paraId="6B885795" w14:textId="77777777" w:rsidR="00C91B7D" w:rsidRPr="00C91B7D" w:rsidRDefault="00C91B7D" w:rsidP="00C91B7D">
            <w:pPr>
              <w:spacing w:after="0" w:line="225" w:lineRule="atLeast"/>
              <w:jc w:val="center"/>
              <w:rPr>
                <w:rFonts w:ascii="Calibri" w:eastAsia="Calibri" w:hAnsi="Calibri" w:cs="Calibri"/>
                <w:lang w:val="it-IT"/>
              </w:rPr>
            </w:pPr>
            <w:r w:rsidRPr="00C91B7D">
              <w:rPr>
                <w:rFonts w:ascii="Calibri" w:eastAsia="Calibri" w:hAnsi="Calibri" w:cs="Calibri"/>
                <w:b/>
                <w:bCs/>
                <w:color w:val="FFFFFF"/>
                <w:sz w:val="18"/>
                <w:szCs w:val="18"/>
                <w:lang w:val="it-IT"/>
              </w:rPr>
              <w:t>Numero prodotti in promozione a ottobre 2023 </w:t>
            </w:r>
          </w:p>
        </w:tc>
        <w:tc>
          <w:tcPr>
            <w:tcW w:w="0" w:type="auto"/>
            <w:tcBorders>
              <w:top w:val="single" w:sz="12" w:space="0" w:color="FFFFFF"/>
              <w:left w:val="nil"/>
              <w:bottom w:val="single" w:sz="12" w:space="0" w:color="FFFFFF"/>
              <w:right w:val="single" w:sz="12" w:space="0" w:color="FFFFFF"/>
            </w:tcBorders>
            <w:shd w:val="clear" w:color="auto" w:fill="0F1933"/>
            <w:tcMar>
              <w:top w:w="75" w:type="dxa"/>
              <w:left w:w="75" w:type="dxa"/>
              <w:bottom w:w="75" w:type="dxa"/>
              <w:right w:w="75" w:type="dxa"/>
            </w:tcMar>
            <w:vAlign w:val="center"/>
            <w:hideMark/>
          </w:tcPr>
          <w:p w14:paraId="6894F240" w14:textId="77777777" w:rsidR="00C91B7D" w:rsidRPr="00C91B7D" w:rsidRDefault="00C91B7D" w:rsidP="00C91B7D">
            <w:pPr>
              <w:spacing w:after="0" w:line="225" w:lineRule="atLeast"/>
              <w:jc w:val="center"/>
              <w:rPr>
                <w:rFonts w:ascii="Calibri" w:eastAsia="Calibri" w:hAnsi="Calibri" w:cs="Calibri"/>
                <w:lang w:val="it-IT"/>
              </w:rPr>
            </w:pPr>
            <w:r w:rsidRPr="00C91B7D">
              <w:rPr>
                <w:rFonts w:ascii="Calibri" w:eastAsia="Calibri" w:hAnsi="Calibri" w:cs="Calibri"/>
                <w:b/>
                <w:bCs/>
                <w:color w:val="FFFFFF"/>
                <w:sz w:val="18"/>
                <w:szCs w:val="18"/>
                <w:lang w:val="it-IT"/>
              </w:rPr>
              <w:t>Differenza N. </w:t>
            </w:r>
          </w:p>
        </w:tc>
        <w:tc>
          <w:tcPr>
            <w:tcW w:w="0" w:type="auto"/>
            <w:tcBorders>
              <w:top w:val="single" w:sz="12" w:space="0" w:color="FFFFFF"/>
              <w:left w:val="nil"/>
              <w:bottom w:val="single" w:sz="12" w:space="0" w:color="FFFFFF"/>
              <w:right w:val="single" w:sz="12" w:space="0" w:color="FFFFFF"/>
            </w:tcBorders>
            <w:shd w:val="clear" w:color="auto" w:fill="0F1933"/>
            <w:tcMar>
              <w:top w:w="75" w:type="dxa"/>
              <w:left w:w="75" w:type="dxa"/>
              <w:bottom w:w="75" w:type="dxa"/>
              <w:right w:w="75" w:type="dxa"/>
            </w:tcMar>
            <w:vAlign w:val="center"/>
            <w:hideMark/>
          </w:tcPr>
          <w:p w14:paraId="351E7CA8" w14:textId="77777777" w:rsidR="00C91B7D" w:rsidRPr="00C91B7D" w:rsidRDefault="00C91B7D" w:rsidP="00C91B7D">
            <w:pPr>
              <w:spacing w:after="0" w:line="225" w:lineRule="atLeast"/>
              <w:jc w:val="center"/>
              <w:rPr>
                <w:rFonts w:ascii="Calibri" w:eastAsia="Calibri" w:hAnsi="Calibri" w:cs="Calibri"/>
                <w:lang w:val="it-IT"/>
              </w:rPr>
            </w:pPr>
            <w:r w:rsidRPr="00C91B7D">
              <w:rPr>
                <w:rFonts w:ascii="Calibri" w:eastAsia="Calibri" w:hAnsi="Calibri" w:cs="Calibri"/>
                <w:b/>
                <w:bCs/>
                <w:color w:val="FFFFFF"/>
                <w:sz w:val="18"/>
                <w:szCs w:val="18"/>
                <w:lang w:val="it-IT"/>
              </w:rPr>
              <w:t>Differenza % </w:t>
            </w:r>
          </w:p>
        </w:tc>
      </w:tr>
      <w:tr w:rsidR="00C91B7D" w:rsidRPr="00C91B7D" w14:paraId="30193437" w14:textId="77777777" w:rsidTr="00C91B7D">
        <w:tc>
          <w:tcPr>
            <w:tcW w:w="0" w:type="auto"/>
            <w:tcBorders>
              <w:top w:val="nil"/>
              <w:left w:val="nil"/>
              <w:bottom w:val="single" w:sz="12" w:space="0" w:color="FFFFFF"/>
              <w:right w:val="single" w:sz="12" w:space="0" w:color="FFFFFF"/>
            </w:tcBorders>
            <w:shd w:val="clear" w:color="auto" w:fill="F0F0F0"/>
            <w:tcMar>
              <w:top w:w="15" w:type="dxa"/>
              <w:left w:w="15" w:type="dxa"/>
              <w:bottom w:w="15" w:type="dxa"/>
              <w:right w:w="15" w:type="dxa"/>
            </w:tcMar>
            <w:vAlign w:val="center"/>
            <w:hideMark/>
          </w:tcPr>
          <w:p w14:paraId="584C5BF3" w14:textId="77777777" w:rsidR="00C91B7D" w:rsidRPr="00C91B7D" w:rsidRDefault="00C91B7D" w:rsidP="00C91B7D">
            <w:pPr>
              <w:spacing w:after="0" w:line="240" w:lineRule="auto"/>
              <w:rPr>
                <w:rFonts w:ascii="Calibri" w:eastAsia="Calibri" w:hAnsi="Calibri" w:cs="Calibri"/>
                <w:lang w:val="it-IT"/>
              </w:rPr>
            </w:pPr>
            <w:r w:rsidRPr="00C91B7D">
              <w:rPr>
                <w:rFonts w:ascii="Calibri" w:eastAsia="Calibri" w:hAnsi="Calibri" w:cs="Calibri"/>
                <w:color w:val="000000"/>
                <w:lang w:val="it-IT"/>
              </w:rPr>
              <w:t> Carrello Tricolore</w:t>
            </w:r>
          </w:p>
        </w:tc>
        <w:tc>
          <w:tcPr>
            <w:tcW w:w="0" w:type="auto"/>
            <w:tcBorders>
              <w:top w:val="nil"/>
              <w:left w:val="nil"/>
              <w:bottom w:val="single" w:sz="12" w:space="0" w:color="FFFFFF"/>
              <w:right w:val="single" w:sz="12" w:space="0" w:color="FFFFFF"/>
            </w:tcBorders>
            <w:shd w:val="clear" w:color="auto" w:fill="F0F0F0"/>
            <w:tcMar>
              <w:top w:w="15" w:type="dxa"/>
              <w:left w:w="15" w:type="dxa"/>
              <w:bottom w:w="15" w:type="dxa"/>
              <w:right w:w="15" w:type="dxa"/>
            </w:tcMar>
            <w:vAlign w:val="center"/>
            <w:hideMark/>
          </w:tcPr>
          <w:p w14:paraId="047055F8" w14:textId="77777777" w:rsidR="00C91B7D" w:rsidRPr="00C91B7D" w:rsidRDefault="00C91B7D" w:rsidP="00C91B7D">
            <w:pPr>
              <w:spacing w:after="0" w:line="240" w:lineRule="auto"/>
              <w:jc w:val="center"/>
              <w:rPr>
                <w:rFonts w:ascii="Calibri" w:eastAsia="Calibri" w:hAnsi="Calibri" w:cs="Calibri"/>
                <w:lang w:val="it-IT"/>
              </w:rPr>
            </w:pPr>
            <w:r w:rsidRPr="00C91B7D">
              <w:rPr>
                <w:rFonts w:ascii="Calibri" w:eastAsia="Calibri" w:hAnsi="Calibri" w:cs="Calibri"/>
                <w:color w:val="000000"/>
                <w:lang w:val="it-IT"/>
              </w:rPr>
              <w:t> -</w:t>
            </w:r>
          </w:p>
        </w:tc>
        <w:tc>
          <w:tcPr>
            <w:tcW w:w="0" w:type="auto"/>
            <w:tcBorders>
              <w:top w:val="nil"/>
              <w:left w:val="nil"/>
              <w:bottom w:val="single" w:sz="12" w:space="0" w:color="FFFFFF"/>
              <w:right w:val="single" w:sz="12" w:space="0" w:color="FFFFFF"/>
            </w:tcBorders>
            <w:shd w:val="clear" w:color="auto" w:fill="F0F0F0"/>
            <w:tcMar>
              <w:top w:w="15" w:type="dxa"/>
              <w:left w:w="15" w:type="dxa"/>
              <w:bottom w:w="15" w:type="dxa"/>
              <w:right w:w="15" w:type="dxa"/>
            </w:tcMar>
            <w:vAlign w:val="center"/>
            <w:hideMark/>
          </w:tcPr>
          <w:p w14:paraId="649EB2A7" w14:textId="77777777" w:rsidR="00C91B7D" w:rsidRPr="00C91B7D" w:rsidRDefault="00C91B7D" w:rsidP="00C91B7D">
            <w:pPr>
              <w:spacing w:after="0" w:line="240" w:lineRule="auto"/>
              <w:jc w:val="center"/>
              <w:rPr>
                <w:rFonts w:ascii="Calibri" w:eastAsia="Calibri" w:hAnsi="Calibri" w:cs="Calibri"/>
                <w:lang w:val="it-IT"/>
              </w:rPr>
            </w:pPr>
            <w:r w:rsidRPr="00C91B7D">
              <w:rPr>
                <w:rFonts w:ascii="Calibri" w:eastAsia="Calibri" w:hAnsi="Calibri" w:cs="Calibri"/>
                <w:color w:val="000000"/>
                <w:lang w:val="it-IT"/>
              </w:rPr>
              <w:t> 666</w:t>
            </w:r>
          </w:p>
        </w:tc>
        <w:tc>
          <w:tcPr>
            <w:tcW w:w="0" w:type="auto"/>
            <w:tcBorders>
              <w:top w:val="nil"/>
              <w:left w:val="nil"/>
              <w:bottom w:val="single" w:sz="12" w:space="0" w:color="FFFFFF"/>
              <w:right w:val="single" w:sz="12" w:space="0" w:color="FFFFFF"/>
            </w:tcBorders>
            <w:shd w:val="clear" w:color="auto" w:fill="F0F0F0"/>
            <w:tcMar>
              <w:top w:w="15" w:type="dxa"/>
              <w:left w:w="15" w:type="dxa"/>
              <w:bottom w:w="15" w:type="dxa"/>
              <w:right w:w="15" w:type="dxa"/>
            </w:tcMar>
            <w:vAlign w:val="center"/>
            <w:hideMark/>
          </w:tcPr>
          <w:p w14:paraId="3738AD46" w14:textId="77777777" w:rsidR="00C91B7D" w:rsidRPr="00C91B7D" w:rsidRDefault="00C91B7D" w:rsidP="00C91B7D">
            <w:pPr>
              <w:spacing w:after="0" w:line="240" w:lineRule="auto"/>
              <w:jc w:val="center"/>
              <w:rPr>
                <w:rFonts w:ascii="Calibri" w:eastAsia="Calibri" w:hAnsi="Calibri" w:cs="Calibri"/>
                <w:lang w:val="it-IT"/>
              </w:rPr>
            </w:pPr>
            <w:r w:rsidRPr="00C91B7D">
              <w:rPr>
                <w:rFonts w:ascii="Calibri" w:eastAsia="Calibri" w:hAnsi="Calibri" w:cs="Calibri"/>
                <w:color w:val="000000"/>
                <w:lang w:val="it-IT"/>
              </w:rPr>
              <w:t> -</w:t>
            </w:r>
          </w:p>
        </w:tc>
        <w:tc>
          <w:tcPr>
            <w:tcW w:w="0" w:type="auto"/>
            <w:tcBorders>
              <w:top w:val="nil"/>
              <w:left w:val="nil"/>
              <w:bottom w:val="single" w:sz="12" w:space="0" w:color="FFFFFF"/>
              <w:right w:val="nil"/>
            </w:tcBorders>
            <w:shd w:val="clear" w:color="auto" w:fill="F0F0F0"/>
            <w:tcMar>
              <w:top w:w="15" w:type="dxa"/>
              <w:left w:w="15" w:type="dxa"/>
              <w:bottom w:w="15" w:type="dxa"/>
              <w:right w:w="15" w:type="dxa"/>
            </w:tcMar>
            <w:vAlign w:val="center"/>
            <w:hideMark/>
          </w:tcPr>
          <w:p w14:paraId="145C32E5" w14:textId="77777777" w:rsidR="00C91B7D" w:rsidRPr="00C91B7D" w:rsidRDefault="00C91B7D" w:rsidP="00C91B7D">
            <w:pPr>
              <w:spacing w:after="0" w:line="240" w:lineRule="auto"/>
              <w:jc w:val="center"/>
              <w:rPr>
                <w:rFonts w:ascii="Calibri" w:eastAsia="Calibri" w:hAnsi="Calibri" w:cs="Calibri"/>
                <w:lang w:val="it-IT"/>
              </w:rPr>
            </w:pPr>
            <w:r w:rsidRPr="00C91B7D">
              <w:rPr>
                <w:rFonts w:ascii="Calibri" w:eastAsia="Calibri" w:hAnsi="Calibri" w:cs="Calibri"/>
                <w:color w:val="000000"/>
                <w:lang w:val="it-IT"/>
              </w:rPr>
              <w:t>-</w:t>
            </w:r>
          </w:p>
        </w:tc>
      </w:tr>
      <w:tr w:rsidR="00C91B7D" w:rsidRPr="00C91B7D" w14:paraId="6B0A125F" w14:textId="77777777" w:rsidTr="00C91B7D">
        <w:tc>
          <w:tcPr>
            <w:tcW w:w="0" w:type="auto"/>
            <w:tcBorders>
              <w:top w:val="nil"/>
              <w:left w:val="nil"/>
              <w:bottom w:val="single" w:sz="12" w:space="0" w:color="FFFFFF"/>
              <w:right w:val="single" w:sz="12" w:space="0" w:color="FFFFFF"/>
            </w:tcBorders>
            <w:shd w:val="clear" w:color="auto" w:fill="F0F0F0"/>
            <w:tcMar>
              <w:top w:w="15" w:type="dxa"/>
              <w:left w:w="15" w:type="dxa"/>
              <w:bottom w:w="15" w:type="dxa"/>
              <w:right w:w="15" w:type="dxa"/>
            </w:tcMar>
            <w:vAlign w:val="center"/>
            <w:hideMark/>
          </w:tcPr>
          <w:p w14:paraId="51F4DE39" w14:textId="77777777" w:rsidR="00C91B7D" w:rsidRPr="00C91B7D" w:rsidRDefault="00C91B7D" w:rsidP="00C91B7D">
            <w:pPr>
              <w:spacing w:after="0" w:line="240" w:lineRule="auto"/>
              <w:rPr>
                <w:rFonts w:ascii="Calibri" w:eastAsia="Calibri" w:hAnsi="Calibri" w:cs="Calibri"/>
                <w:lang w:val="it-IT"/>
              </w:rPr>
            </w:pPr>
            <w:r w:rsidRPr="00C91B7D">
              <w:rPr>
                <w:rFonts w:ascii="Calibri" w:eastAsia="Calibri" w:hAnsi="Calibri" w:cs="Calibri"/>
                <w:color w:val="000000"/>
                <w:lang w:val="it-IT"/>
              </w:rPr>
              <w:t> Carta fedeltà</w:t>
            </w:r>
          </w:p>
        </w:tc>
        <w:tc>
          <w:tcPr>
            <w:tcW w:w="0" w:type="auto"/>
            <w:tcBorders>
              <w:top w:val="nil"/>
              <w:left w:val="nil"/>
              <w:bottom w:val="single" w:sz="12" w:space="0" w:color="FFFFFF"/>
              <w:right w:val="single" w:sz="12" w:space="0" w:color="FFFFFF"/>
            </w:tcBorders>
            <w:shd w:val="clear" w:color="auto" w:fill="F0F0F0"/>
            <w:tcMar>
              <w:top w:w="15" w:type="dxa"/>
              <w:left w:w="15" w:type="dxa"/>
              <w:bottom w:w="15" w:type="dxa"/>
              <w:right w:w="15" w:type="dxa"/>
            </w:tcMar>
            <w:vAlign w:val="center"/>
            <w:hideMark/>
          </w:tcPr>
          <w:p w14:paraId="39FE0C0C" w14:textId="77777777" w:rsidR="00C91B7D" w:rsidRPr="00C91B7D" w:rsidRDefault="00C91B7D" w:rsidP="00C91B7D">
            <w:pPr>
              <w:spacing w:after="0" w:line="240" w:lineRule="auto"/>
              <w:jc w:val="center"/>
              <w:rPr>
                <w:rFonts w:ascii="Calibri" w:eastAsia="Calibri" w:hAnsi="Calibri" w:cs="Calibri"/>
                <w:lang w:val="it-IT"/>
              </w:rPr>
            </w:pPr>
            <w:r w:rsidRPr="00C91B7D">
              <w:rPr>
                <w:rFonts w:ascii="Calibri" w:eastAsia="Calibri" w:hAnsi="Calibri" w:cs="Calibri"/>
                <w:color w:val="000000"/>
                <w:lang w:val="it-IT"/>
              </w:rPr>
              <w:t>306</w:t>
            </w:r>
          </w:p>
        </w:tc>
        <w:tc>
          <w:tcPr>
            <w:tcW w:w="0" w:type="auto"/>
            <w:tcBorders>
              <w:top w:val="nil"/>
              <w:left w:val="nil"/>
              <w:bottom w:val="single" w:sz="12" w:space="0" w:color="FFFFFF"/>
              <w:right w:val="single" w:sz="12" w:space="0" w:color="FFFFFF"/>
            </w:tcBorders>
            <w:shd w:val="clear" w:color="auto" w:fill="F0F0F0"/>
            <w:tcMar>
              <w:top w:w="15" w:type="dxa"/>
              <w:left w:w="15" w:type="dxa"/>
              <w:bottom w:w="15" w:type="dxa"/>
              <w:right w:w="15" w:type="dxa"/>
            </w:tcMar>
            <w:vAlign w:val="center"/>
            <w:hideMark/>
          </w:tcPr>
          <w:p w14:paraId="6220EBF1" w14:textId="77777777" w:rsidR="00C91B7D" w:rsidRPr="00C91B7D" w:rsidRDefault="00C91B7D" w:rsidP="00C91B7D">
            <w:pPr>
              <w:spacing w:after="0" w:line="240" w:lineRule="auto"/>
              <w:jc w:val="center"/>
              <w:rPr>
                <w:rFonts w:ascii="Calibri" w:eastAsia="Calibri" w:hAnsi="Calibri" w:cs="Calibri"/>
                <w:lang w:val="it-IT"/>
              </w:rPr>
            </w:pPr>
            <w:r w:rsidRPr="00C91B7D">
              <w:rPr>
                <w:rFonts w:ascii="Calibri" w:eastAsia="Calibri" w:hAnsi="Calibri" w:cs="Calibri"/>
                <w:color w:val="000000"/>
                <w:lang w:val="it-IT"/>
              </w:rPr>
              <w:t>203</w:t>
            </w:r>
          </w:p>
        </w:tc>
        <w:tc>
          <w:tcPr>
            <w:tcW w:w="0" w:type="auto"/>
            <w:tcBorders>
              <w:top w:val="nil"/>
              <w:left w:val="nil"/>
              <w:bottom w:val="single" w:sz="12" w:space="0" w:color="FFFFFF"/>
              <w:right w:val="single" w:sz="12" w:space="0" w:color="FFFFFF"/>
            </w:tcBorders>
            <w:shd w:val="clear" w:color="auto" w:fill="F0F0F0"/>
            <w:tcMar>
              <w:top w:w="15" w:type="dxa"/>
              <w:left w:w="15" w:type="dxa"/>
              <w:bottom w:w="15" w:type="dxa"/>
              <w:right w:w="15" w:type="dxa"/>
            </w:tcMar>
            <w:vAlign w:val="center"/>
            <w:hideMark/>
          </w:tcPr>
          <w:p w14:paraId="2408769C" w14:textId="77777777" w:rsidR="00C91B7D" w:rsidRPr="00C91B7D" w:rsidRDefault="00C91B7D" w:rsidP="00C91B7D">
            <w:pPr>
              <w:spacing w:after="0" w:line="240" w:lineRule="auto"/>
              <w:jc w:val="center"/>
              <w:rPr>
                <w:rFonts w:ascii="Calibri" w:eastAsia="Calibri" w:hAnsi="Calibri" w:cs="Calibri"/>
                <w:lang w:val="it-IT"/>
              </w:rPr>
            </w:pPr>
            <w:r w:rsidRPr="00C91B7D">
              <w:rPr>
                <w:rFonts w:ascii="Calibri" w:eastAsia="Calibri" w:hAnsi="Calibri" w:cs="Calibri"/>
                <w:color w:val="000000"/>
                <w:lang w:val="it-IT"/>
              </w:rPr>
              <w:t>-103</w:t>
            </w:r>
          </w:p>
        </w:tc>
        <w:tc>
          <w:tcPr>
            <w:tcW w:w="0" w:type="auto"/>
            <w:tcBorders>
              <w:top w:val="nil"/>
              <w:left w:val="nil"/>
              <w:bottom w:val="single" w:sz="12" w:space="0" w:color="FFFFFF"/>
              <w:right w:val="nil"/>
            </w:tcBorders>
            <w:shd w:val="clear" w:color="auto" w:fill="F0F0F0"/>
            <w:tcMar>
              <w:top w:w="15" w:type="dxa"/>
              <w:left w:w="15" w:type="dxa"/>
              <w:bottom w:w="15" w:type="dxa"/>
              <w:right w:w="15" w:type="dxa"/>
            </w:tcMar>
            <w:vAlign w:val="center"/>
            <w:hideMark/>
          </w:tcPr>
          <w:p w14:paraId="73BB1463" w14:textId="77777777" w:rsidR="00C91B7D" w:rsidRPr="00C91B7D" w:rsidRDefault="00C91B7D" w:rsidP="00C91B7D">
            <w:pPr>
              <w:spacing w:after="0" w:line="240" w:lineRule="auto"/>
              <w:jc w:val="center"/>
              <w:rPr>
                <w:rFonts w:ascii="Calibri" w:eastAsia="Calibri" w:hAnsi="Calibri" w:cs="Calibri"/>
                <w:lang w:val="it-IT"/>
              </w:rPr>
            </w:pPr>
            <w:r w:rsidRPr="00C91B7D">
              <w:rPr>
                <w:rFonts w:ascii="Calibri" w:eastAsia="Calibri" w:hAnsi="Calibri" w:cs="Calibri"/>
                <w:color w:val="000000"/>
                <w:lang w:val="it-IT"/>
              </w:rPr>
              <w:t>-34%</w:t>
            </w:r>
          </w:p>
        </w:tc>
      </w:tr>
      <w:tr w:rsidR="00C91B7D" w:rsidRPr="00C91B7D" w14:paraId="0354A09B" w14:textId="77777777" w:rsidTr="00C91B7D">
        <w:tc>
          <w:tcPr>
            <w:tcW w:w="0" w:type="auto"/>
            <w:tcBorders>
              <w:top w:val="nil"/>
              <w:left w:val="nil"/>
              <w:bottom w:val="single" w:sz="12" w:space="0" w:color="FFFFFF"/>
              <w:right w:val="single" w:sz="12" w:space="0" w:color="FFFFFF"/>
            </w:tcBorders>
            <w:shd w:val="clear" w:color="auto" w:fill="F0F0F0"/>
            <w:tcMar>
              <w:top w:w="15" w:type="dxa"/>
              <w:left w:w="15" w:type="dxa"/>
              <w:bottom w:w="15" w:type="dxa"/>
              <w:right w:w="15" w:type="dxa"/>
            </w:tcMar>
            <w:vAlign w:val="center"/>
            <w:hideMark/>
          </w:tcPr>
          <w:p w14:paraId="7C6FC2D0" w14:textId="77777777" w:rsidR="00C91B7D" w:rsidRPr="00C91B7D" w:rsidRDefault="00C91B7D" w:rsidP="00C91B7D">
            <w:pPr>
              <w:spacing w:after="0" w:line="240" w:lineRule="auto"/>
              <w:rPr>
                <w:rFonts w:ascii="Calibri" w:eastAsia="Calibri" w:hAnsi="Calibri" w:cs="Calibri"/>
                <w:lang w:val="it-IT"/>
              </w:rPr>
            </w:pPr>
            <w:r w:rsidRPr="00C91B7D">
              <w:rPr>
                <w:rFonts w:ascii="Calibri" w:eastAsia="Calibri" w:hAnsi="Calibri" w:cs="Calibri"/>
                <w:color w:val="000000"/>
                <w:lang w:val="it-IT"/>
              </w:rPr>
              <w:t> Prezzo basso sempre</w:t>
            </w:r>
          </w:p>
        </w:tc>
        <w:tc>
          <w:tcPr>
            <w:tcW w:w="0" w:type="auto"/>
            <w:tcBorders>
              <w:top w:val="nil"/>
              <w:left w:val="nil"/>
              <w:bottom w:val="single" w:sz="12" w:space="0" w:color="FFFFFF"/>
              <w:right w:val="single" w:sz="12" w:space="0" w:color="FFFFFF"/>
            </w:tcBorders>
            <w:shd w:val="clear" w:color="auto" w:fill="F0F0F0"/>
            <w:tcMar>
              <w:top w:w="15" w:type="dxa"/>
              <w:left w:w="15" w:type="dxa"/>
              <w:bottom w:w="15" w:type="dxa"/>
              <w:right w:w="15" w:type="dxa"/>
            </w:tcMar>
            <w:vAlign w:val="center"/>
            <w:hideMark/>
          </w:tcPr>
          <w:p w14:paraId="6691B2F3" w14:textId="77777777" w:rsidR="00C91B7D" w:rsidRPr="00C91B7D" w:rsidRDefault="00C91B7D" w:rsidP="00C91B7D">
            <w:pPr>
              <w:spacing w:after="0" w:line="240" w:lineRule="auto"/>
              <w:jc w:val="center"/>
              <w:rPr>
                <w:rFonts w:ascii="Calibri" w:eastAsia="Calibri" w:hAnsi="Calibri" w:cs="Calibri"/>
                <w:lang w:val="it-IT"/>
              </w:rPr>
            </w:pPr>
            <w:r w:rsidRPr="00C91B7D">
              <w:rPr>
                <w:rFonts w:ascii="Calibri" w:eastAsia="Calibri" w:hAnsi="Calibri" w:cs="Calibri"/>
                <w:color w:val="000000"/>
                <w:lang w:val="it-IT"/>
              </w:rPr>
              <w:t>246</w:t>
            </w:r>
          </w:p>
        </w:tc>
        <w:tc>
          <w:tcPr>
            <w:tcW w:w="0" w:type="auto"/>
            <w:tcBorders>
              <w:top w:val="nil"/>
              <w:left w:val="nil"/>
              <w:bottom w:val="single" w:sz="12" w:space="0" w:color="FFFFFF"/>
              <w:right w:val="single" w:sz="12" w:space="0" w:color="FFFFFF"/>
            </w:tcBorders>
            <w:shd w:val="clear" w:color="auto" w:fill="F0F0F0"/>
            <w:tcMar>
              <w:top w:w="15" w:type="dxa"/>
              <w:left w:w="15" w:type="dxa"/>
              <w:bottom w:w="15" w:type="dxa"/>
              <w:right w:w="15" w:type="dxa"/>
            </w:tcMar>
            <w:vAlign w:val="center"/>
            <w:hideMark/>
          </w:tcPr>
          <w:p w14:paraId="7E8B0B2F" w14:textId="77777777" w:rsidR="00C91B7D" w:rsidRPr="00C91B7D" w:rsidRDefault="00C91B7D" w:rsidP="00C91B7D">
            <w:pPr>
              <w:spacing w:after="0" w:line="240" w:lineRule="auto"/>
              <w:jc w:val="center"/>
              <w:rPr>
                <w:rFonts w:ascii="Calibri" w:eastAsia="Calibri" w:hAnsi="Calibri" w:cs="Calibri"/>
                <w:lang w:val="it-IT"/>
              </w:rPr>
            </w:pPr>
            <w:r w:rsidRPr="00C91B7D">
              <w:rPr>
                <w:rFonts w:ascii="Calibri" w:eastAsia="Calibri" w:hAnsi="Calibri" w:cs="Calibri"/>
                <w:color w:val="000000"/>
                <w:lang w:val="it-IT"/>
              </w:rPr>
              <w:t>98</w:t>
            </w:r>
          </w:p>
        </w:tc>
        <w:tc>
          <w:tcPr>
            <w:tcW w:w="0" w:type="auto"/>
            <w:tcBorders>
              <w:top w:val="nil"/>
              <w:left w:val="nil"/>
              <w:bottom w:val="single" w:sz="12" w:space="0" w:color="FFFFFF"/>
              <w:right w:val="single" w:sz="12" w:space="0" w:color="FFFFFF"/>
            </w:tcBorders>
            <w:shd w:val="clear" w:color="auto" w:fill="F0F0F0"/>
            <w:tcMar>
              <w:top w:w="15" w:type="dxa"/>
              <w:left w:w="15" w:type="dxa"/>
              <w:bottom w:w="15" w:type="dxa"/>
              <w:right w:w="15" w:type="dxa"/>
            </w:tcMar>
            <w:vAlign w:val="center"/>
            <w:hideMark/>
          </w:tcPr>
          <w:p w14:paraId="37391465" w14:textId="77777777" w:rsidR="00C91B7D" w:rsidRPr="00C91B7D" w:rsidRDefault="00C91B7D" w:rsidP="00C91B7D">
            <w:pPr>
              <w:spacing w:after="0" w:line="240" w:lineRule="auto"/>
              <w:jc w:val="center"/>
              <w:rPr>
                <w:rFonts w:ascii="Calibri" w:eastAsia="Calibri" w:hAnsi="Calibri" w:cs="Calibri"/>
                <w:lang w:val="it-IT"/>
              </w:rPr>
            </w:pPr>
            <w:r w:rsidRPr="00C91B7D">
              <w:rPr>
                <w:rFonts w:ascii="Calibri" w:eastAsia="Calibri" w:hAnsi="Calibri" w:cs="Calibri"/>
                <w:color w:val="000000"/>
                <w:lang w:val="it-IT"/>
              </w:rPr>
              <w:t>-148</w:t>
            </w:r>
          </w:p>
        </w:tc>
        <w:tc>
          <w:tcPr>
            <w:tcW w:w="0" w:type="auto"/>
            <w:tcBorders>
              <w:top w:val="nil"/>
              <w:left w:val="nil"/>
              <w:bottom w:val="single" w:sz="12" w:space="0" w:color="FFFFFF"/>
              <w:right w:val="nil"/>
            </w:tcBorders>
            <w:shd w:val="clear" w:color="auto" w:fill="F0F0F0"/>
            <w:tcMar>
              <w:top w:w="15" w:type="dxa"/>
              <w:left w:w="15" w:type="dxa"/>
              <w:bottom w:w="15" w:type="dxa"/>
              <w:right w:w="15" w:type="dxa"/>
            </w:tcMar>
            <w:vAlign w:val="center"/>
            <w:hideMark/>
          </w:tcPr>
          <w:p w14:paraId="23D02628" w14:textId="77777777" w:rsidR="00C91B7D" w:rsidRPr="00C91B7D" w:rsidRDefault="00C91B7D" w:rsidP="00C91B7D">
            <w:pPr>
              <w:spacing w:after="0" w:line="240" w:lineRule="auto"/>
              <w:jc w:val="center"/>
              <w:rPr>
                <w:rFonts w:ascii="Calibri" w:eastAsia="Calibri" w:hAnsi="Calibri" w:cs="Calibri"/>
                <w:lang w:val="it-IT"/>
              </w:rPr>
            </w:pPr>
            <w:r w:rsidRPr="00C91B7D">
              <w:rPr>
                <w:rFonts w:ascii="Calibri" w:eastAsia="Calibri" w:hAnsi="Calibri" w:cs="Calibri"/>
                <w:color w:val="000000"/>
                <w:lang w:val="it-IT"/>
              </w:rPr>
              <w:t>-60%</w:t>
            </w:r>
          </w:p>
        </w:tc>
      </w:tr>
      <w:tr w:rsidR="00C91B7D" w:rsidRPr="00C91B7D" w14:paraId="58E5D9E1" w14:textId="77777777" w:rsidTr="00C91B7D">
        <w:tc>
          <w:tcPr>
            <w:tcW w:w="0" w:type="auto"/>
            <w:tcBorders>
              <w:top w:val="nil"/>
              <w:left w:val="nil"/>
              <w:bottom w:val="single" w:sz="12" w:space="0" w:color="FFFFFF"/>
              <w:right w:val="single" w:sz="12" w:space="0" w:color="FFFFFF"/>
            </w:tcBorders>
            <w:shd w:val="clear" w:color="auto" w:fill="F0F0F0"/>
            <w:tcMar>
              <w:top w:w="15" w:type="dxa"/>
              <w:left w:w="15" w:type="dxa"/>
              <w:bottom w:w="15" w:type="dxa"/>
              <w:right w:w="15" w:type="dxa"/>
            </w:tcMar>
            <w:vAlign w:val="center"/>
            <w:hideMark/>
          </w:tcPr>
          <w:p w14:paraId="60A20624" w14:textId="77777777" w:rsidR="00C91B7D" w:rsidRPr="00C91B7D" w:rsidRDefault="00C91B7D" w:rsidP="00C91B7D">
            <w:pPr>
              <w:spacing w:after="0" w:line="240" w:lineRule="auto"/>
              <w:rPr>
                <w:rFonts w:ascii="Calibri" w:eastAsia="Calibri" w:hAnsi="Calibri" w:cs="Calibri"/>
                <w:lang w:val="it-IT"/>
              </w:rPr>
            </w:pPr>
            <w:r w:rsidRPr="00C91B7D">
              <w:rPr>
                <w:rFonts w:ascii="Calibri" w:eastAsia="Calibri" w:hAnsi="Calibri" w:cs="Calibri"/>
                <w:color w:val="000000"/>
                <w:lang w:val="it-IT"/>
              </w:rPr>
              <w:t> Promo di prezzo a tempo</w:t>
            </w:r>
          </w:p>
        </w:tc>
        <w:tc>
          <w:tcPr>
            <w:tcW w:w="0" w:type="auto"/>
            <w:tcBorders>
              <w:top w:val="nil"/>
              <w:left w:val="nil"/>
              <w:bottom w:val="single" w:sz="12" w:space="0" w:color="FFFFFF"/>
              <w:right w:val="single" w:sz="12" w:space="0" w:color="FFFFFF"/>
            </w:tcBorders>
            <w:shd w:val="clear" w:color="auto" w:fill="F0F0F0"/>
            <w:tcMar>
              <w:top w:w="15" w:type="dxa"/>
              <w:left w:w="15" w:type="dxa"/>
              <w:bottom w:w="15" w:type="dxa"/>
              <w:right w:w="15" w:type="dxa"/>
            </w:tcMar>
            <w:vAlign w:val="center"/>
            <w:hideMark/>
          </w:tcPr>
          <w:p w14:paraId="42D276E3" w14:textId="77777777" w:rsidR="00C91B7D" w:rsidRPr="00C91B7D" w:rsidRDefault="00C91B7D" w:rsidP="00C91B7D">
            <w:pPr>
              <w:spacing w:after="0" w:line="240" w:lineRule="auto"/>
              <w:jc w:val="center"/>
              <w:rPr>
                <w:rFonts w:ascii="Calibri" w:eastAsia="Calibri" w:hAnsi="Calibri" w:cs="Calibri"/>
                <w:lang w:val="it-IT"/>
              </w:rPr>
            </w:pPr>
            <w:r w:rsidRPr="00C91B7D">
              <w:rPr>
                <w:rFonts w:ascii="Calibri" w:eastAsia="Calibri" w:hAnsi="Calibri" w:cs="Calibri"/>
                <w:color w:val="000000"/>
                <w:lang w:val="it-IT"/>
              </w:rPr>
              <w:t>1.308</w:t>
            </w:r>
          </w:p>
        </w:tc>
        <w:tc>
          <w:tcPr>
            <w:tcW w:w="0" w:type="auto"/>
            <w:tcBorders>
              <w:top w:val="nil"/>
              <w:left w:val="nil"/>
              <w:bottom w:val="single" w:sz="12" w:space="0" w:color="FFFFFF"/>
              <w:right w:val="single" w:sz="12" w:space="0" w:color="FFFFFF"/>
            </w:tcBorders>
            <w:shd w:val="clear" w:color="auto" w:fill="F0F0F0"/>
            <w:tcMar>
              <w:top w:w="15" w:type="dxa"/>
              <w:left w:w="15" w:type="dxa"/>
              <w:bottom w:w="15" w:type="dxa"/>
              <w:right w:w="15" w:type="dxa"/>
            </w:tcMar>
            <w:vAlign w:val="center"/>
            <w:hideMark/>
          </w:tcPr>
          <w:p w14:paraId="1F27AAD9" w14:textId="77777777" w:rsidR="00C91B7D" w:rsidRPr="00C91B7D" w:rsidRDefault="00C91B7D" w:rsidP="00C91B7D">
            <w:pPr>
              <w:spacing w:after="0" w:line="240" w:lineRule="auto"/>
              <w:jc w:val="center"/>
              <w:rPr>
                <w:rFonts w:ascii="Calibri" w:eastAsia="Calibri" w:hAnsi="Calibri" w:cs="Calibri"/>
                <w:lang w:val="it-IT"/>
              </w:rPr>
            </w:pPr>
            <w:r w:rsidRPr="00C91B7D">
              <w:rPr>
                <w:rFonts w:ascii="Calibri" w:eastAsia="Calibri" w:hAnsi="Calibri" w:cs="Calibri"/>
                <w:color w:val="000000"/>
                <w:lang w:val="it-IT"/>
              </w:rPr>
              <w:t>1.102</w:t>
            </w:r>
          </w:p>
        </w:tc>
        <w:tc>
          <w:tcPr>
            <w:tcW w:w="0" w:type="auto"/>
            <w:tcBorders>
              <w:top w:val="nil"/>
              <w:left w:val="nil"/>
              <w:bottom w:val="single" w:sz="12" w:space="0" w:color="FFFFFF"/>
              <w:right w:val="single" w:sz="12" w:space="0" w:color="FFFFFF"/>
            </w:tcBorders>
            <w:shd w:val="clear" w:color="auto" w:fill="F0F0F0"/>
            <w:tcMar>
              <w:top w:w="15" w:type="dxa"/>
              <w:left w:w="15" w:type="dxa"/>
              <w:bottom w:w="15" w:type="dxa"/>
              <w:right w:w="15" w:type="dxa"/>
            </w:tcMar>
            <w:vAlign w:val="center"/>
            <w:hideMark/>
          </w:tcPr>
          <w:p w14:paraId="4FD20C24" w14:textId="77777777" w:rsidR="00C91B7D" w:rsidRPr="00C91B7D" w:rsidRDefault="00C91B7D" w:rsidP="00C91B7D">
            <w:pPr>
              <w:spacing w:after="0" w:line="240" w:lineRule="auto"/>
              <w:jc w:val="center"/>
              <w:rPr>
                <w:rFonts w:ascii="Calibri" w:eastAsia="Calibri" w:hAnsi="Calibri" w:cs="Calibri"/>
                <w:lang w:val="it-IT"/>
              </w:rPr>
            </w:pPr>
            <w:r w:rsidRPr="00C91B7D">
              <w:rPr>
                <w:rFonts w:ascii="Calibri" w:eastAsia="Calibri" w:hAnsi="Calibri" w:cs="Calibri"/>
                <w:color w:val="000000"/>
                <w:lang w:val="it-IT"/>
              </w:rPr>
              <w:t>-206</w:t>
            </w:r>
          </w:p>
        </w:tc>
        <w:tc>
          <w:tcPr>
            <w:tcW w:w="0" w:type="auto"/>
            <w:tcBorders>
              <w:top w:val="nil"/>
              <w:left w:val="nil"/>
              <w:bottom w:val="single" w:sz="12" w:space="0" w:color="FFFFFF"/>
              <w:right w:val="nil"/>
            </w:tcBorders>
            <w:shd w:val="clear" w:color="auto" w:fill="F0F0F0"/>
            <w:tcMar>
              <w:top w:w="15" w:type="dxa"/>
              <w:left w:w="15" w:type="dxa"/>
              <w:bottom w:w="15" w:type="dxa"/>
              <w:right w:w="15" w:type="dxa"/>
            </w:tcMar>
            <w:vAlign w:val="center"/>
            <w:hideMark/>
          </w:tcPr>
          <w:p w14:paraId="48289B97" w14:textId="77777777" w:rsidR="00C91B7D" w:rsidRPr="00C91B7D" w:rsidRDefault="00C91B7D" w:rsidP="00C91B7D">
            <w:pPr>
              <w:spacing w:after="0" w:line="240" w:lineRule="auto"/>
              <w:jc w:val="center"/>
              <w:rPr>
                <w:rFonts w:ascii="Calibri" w:eastAsia="Calibri" w:hAnsi="Calibri" w:cs="Calibri"/>
                <w:lang w:val="it-IT"/>
              </w:rPr>
            </w:pPr>
            <w:r w:rsidRPr="00C91B7D">
              <w:rPr>
                <w:rFonts w:ascii="Calibri" w:eastAsia="Calibri" w:hAnsi="Calibri" w:cs="Calibri"/>
                <w:color w:val="000000"/>
                <w:lang w:val="it-IT"/>
              </w:rPr>
              <w:t>-16%</w:t>
            </w:r>
          </w:p>
        </w:tc>
      </w:tr>
      <w:tr w:rsidR="00C91B7D" w:rsidRPr="00C91B7D" w14:paraId="09235BF1" w14:textId="77777777" w:rsidTr="00C91B7D">
        <w:tc>
          <w:tcPr>
            <w:tcW w:w="0" w:type="auto"/>
            <w:tcBorders>
              <w:top w:val="nil"/>
              <w:left w:val="nil"/>
              <w:bottom w:val="single" w:sz="12" w:space="0" w:color="FFFFFF"/>
              <w:right w:val="single" w:sz="12" w:space="0" w:color="FFFFFF"/>
            </w:tcBorders>
            <w:shd w:val="clear" w:color="auto" w:fill="F0F0F0"/>
            <w:tcMar>
              <w:top w:w="15" w:type="dxa"/>
              <w:left w:w="15" w:type="dxa"/>
              <w:bottom w:w="15" w:type="dxa"/>
              <w:right w:w="15" w:type="dxa"/>
            </w:tcMar>
            <w:vAlign w:val="center"/>
            <w:hideMark/>
          </w:tcPr>
          <w:p w14:paraId="04E46768" w14:textId="77777777" w:rsidR="00C91B7D" w:rsidRPr="00C91B7D" w:rsidRDefault="00C91B7D" w:rsidP="00C91B7D">
            <w:pPr>
              <w:spacing w:after="0" w:line="240" w:lineRule="auto"/>
              <w:rPr>
                <w:rFonts w:ascii="Calibri" w:eastAsia="Calibri" w:hAnsi="Calibri" w:cs="Calibri"/>
                <w:lang w:val="it-IT"/>
              </w:rPr>
            </w:pPr>
            <w:r w:rsidRPr="00C91B7D">
              <w:rPr>
                <w:rFonts w:ascii="Calibri" w:eastAsia="Calibri" w:hAnsi="Calibri" w:cs="Calibri"/>
                <w:color w:val="000000"/>
                <w:lang w:val="it-IT"/>
              </w:rPr>
              <w:t> Totale</w:t>
            </w:r>
          </w:p>
        </w:tc>
        <w:tc>
          <w:tcPr>
            <w:tcW w:w="0" w:type="auto"/>
            <w:tcBorders>
              <w:top w:val="nil"/>
              <w:left w:val="nil"/>
              <w:bottom w:val="single" w:sz="12" w:space="0" w:color="FFFFFF"/>
              <w:right w:val="single" w:sz="12" w:space="0" w:color="FFFFFF"/>
            </w:tcBorders>
            <w:shd w:val="clear" w:color="auto" w:fill="F0F0F0"/>
            <w:tcMar>
              <w:top w:w="15" w:type="dxa"/>
              <w:left w:w="15" w:type="dxa"/>
              <w:bottom w:w="15" w:type="dxa"/>
              <w:right w:w="15" w:type="dxa"/>
            </w:tcMar>
            <w:vAlign w:val="center"/>
            <w:hideMark/>
          </w:tcPr>
          <w:p w14:paraId="495FAC04" w14:textId="77777777" w:rsidR="00C91B7D" w:rsidRPr="00C91B7D" w:rsidRDefault="00C91B7D" w:rsidP="00C91B7D">
            <w:pPr>
              <w:spacing w:after="0" w:line="240" w:lineRule="auto"/>
              <w:jc w:val="center"/>
              <w:rPr>
                <w:rFonts w:ascii="Calibri" w:eastAsia="Calibri" w:hAnsi="Calibri" w:cs="Calibri"/>
                <w:lang w:val="it-IT"/>
              </w:rPr>
            </w:pPr>
            <w:r w:rsidRPr="00C91B7D">
              <w:rPr>
                <w:rFonts w:ascii="Calibri" w:eastAsia="Calibri" w:hAnsi="Calibri" w:cs="Calibri"/>
                <w:color w:val="000000"/>
                <w:lang w:val="it-IT"/>
              </w:rPr>
              <w:t>1.860</w:t>
            </w:r>
          </w:p>
        </w:tc>
        <w:tc>
          <w:tcPr>
            <w:tcW w:w="0" w:type="auto"/>
            <w:tcBorders>
              <w:top w:val="nil"/>
              <w:left w:val="nil"/>
              <w:bottom w:val="single" w:sz="12" w:space="0" w:color="FFFFFF"/>
              <w:right w:val="single" w:sz="12" w:space="0" w:color="FFFFFF"/>
            </w:tcBorders>
            <w:shd w:val="clear" w:color="auto" w:fill="F0F0F0"/>
            <w:tcMar>
              <w:top w:w="15" w:type="dxa"/>
              <w:left w:w="15" w:type="dxa"/>
              <w:bottom w:w="15" w:type="dxa"/>
              <w:right w:w="15" w:type="dxa"/>
            </w:tcMar>
            <w:vAlign w:val="center"/>
            <w:hideMark/>
          </w:tcPr>
          <w:p w14:paraId="7656E7DF" w14:textId="77777777" w:rsidR="00C91B7D" w:rsidRPr="00C91B7D" w:rsidRDefault="00C91B7D" w:rsidP="00C91B7D">
            <w:pPr>
              <w:spacing w:after="0" w:line="240" w:lineRule="auto"/>
              <w:jc w:val="center"/>
              <w:rPr>
                <w:rFonts w:ascii="Calibri" w:eastAsia="Calibri" w:hAnsi="Calibri" w:cs="Calibri"/>
                <w:lang w:val="it-IT"/>
              </w:rPr>
            </w:pPr>
            <w:r w:rsidRPr="00C91B7D">
              <w:rPr>
                <w:rFonts w:ascii="Calibri" w:eastAsia="Calibri" w:hAnsi="Calibri" w:cs="Calibri"/>
                <w:color w:val="000000"/>
                <w:lang w:val="it-IT"/>
              </w:rPr>
              <w:t>2.069</w:t>
            </w:r>
          </w:p>
        </w:tc>
        <w:tc>
          <w:tcPr>
            <w:tcW w:w="0" w:type="auto"/>
            <w:tcBorders>
              <w:top w:val="nil"/>
              <w:left w:val="nil"/>
              <w:bottom w:val="single" w:sz="12" w:space="0" w:color="FFFFFF"/>
              <w:right w:val="single" w:sz="12" w:space="0" w:color="FFFFFF"/>
            </w:tcBorders>
            <w:shd w:val="clear" w:color="auto" w:fill="F0F0F0"/>
            <w:tcMar>
              <w:top w:w="15" w:type="dxa"/>
              <w:left w:w="15" w:type="dxa"/>
              <w:bottom w:w="15" w:type="dxa"/>
              <w:right w:w="15" w:type="dxa"/>
            </w:tcMar>
            <w:vAlign w:val="center"/>
            <w:hideMark/>
          </w:tcPr>
          <w:p w14:paraId="7F0A4EB8" w14:textId="77777777" w:rsidR="00C91B7D" w:rsidRPr="00C91B7D" w:rsidRDefault="00C91B7D" w:rsidP="00C91B7D">
            <w:pPr>
              <w:spacing w:after="0" w:line="240" w:lineRule="auto"/>
              <w:jc w:val="center"/>
              <w:rPr>
                <w:rFonts w:ascii="Calibri" w:eastAsia="Calibri" w:hAnsi="Calibri" w:cs="Calibri"/>
                <w:lang w:val="it-IT"/>
              </w:rPr>
            </w:pPr>
            <w:r w:rsidRPr="00C91B7D">
              <w:rPr>
                <w:rFonts w:ascii="Calibri" w:eastAsia="Calibri" w:hAnsi="Calibri" w:cs="Calibri"/>
                <w:color w:val="000000"/>
                <w:lang w:val="it-IT"/>
              </w:rPr>
              <w:t>209</w:t>
            </w:r>
          </w:p>
        </w:tc>
        <w:tc>
          <w:tcPr>
            <w:tcW w:w="0" w:type="auto"/>
            <w:tcBorders>
              <w:top w:val="nil"/>
              <w:left w:val="nil"/>
              <w:bottom w:val="single" w:sz="12" w:space="0" w:color="FFFFFF"/>
              <w:right w:val="nil"/>
            </w:tcBorders>
            <w:shd w:val="clear" w:color="auto" w:fill="F0F0F0"/>
            <w:tcMar>
              <w:top w:w="15" w:type="dxa"/>
              <w:left w:w="15" w:type="dxa"/>
              <w:bottom w:w="15" w:type="dxa"/>
              <w:right w:w="15" w:type="dxa"/>
            </w:tcMar>
            <w:vAlign w:val="center"/>
            <w:hideMark/>
          </w:tcPr>
          <w:p w14:paraId="497ADAA9" w14:textId="77777777" w:rsidR="00C91B7D" w:rsidRPr="00C91B7D" w:rsidRDefault="00C91B7D" w:rsidP="00C91B7D">
            <w:pPr>
              <w:spacing w:after="0" w:line="240" w:lineRule="auto"/>
              <w:jc w:val="center"/>
              <w:rPr>
                <w:rFonts w:ascii="Calibri" w:eastAsia="Calibri" w:hAnsi="Calibri" w:cs="Calibri"/>
                <w:lang w:val="it-IT"/>
              </w:rPr>
            </w:pPr>
            <w:r w:rsidRPr="00C91B7D">
              <w:rPr>
                <w:rFonts w:ascii="Calibri" w:eastAsia="Calibri" w:hAnsi="Calibri" w:cs="Calibri"/>
                <w:color w:val="000000"/>
                <w:lang w:val="it-IT"/>
              </w:rPr>
              <w:t>11%</w:t>
            </w:r>
          </w:p>
        </w:tc>
      </w:tr>
    </w:tbl>
    <w:p w14:paraId="2C8AD829" w14:textId="77777777" w:rsidR="00C91B7D" w:rsidRPr="00C91B7D" w:rsidRDefault="00C91B7D" w:rsidP="00C91B7D">
      <w:pPr>
        <w:shd w:val="clear" w:color="auto" w:fill="FFFFFF"/>
        <w:spacing w:after="0" w:line="240" w:lineRule="auto"/>
        <w:rPr>
          <w:rFonts w:ascii="Calibri" w:eastAsia="Calibri" w:hAnsi="Calibri" w:cs="Calibri"/>
          <w:lang w:val="it-IT"/>
        </w:rPr>
      </w:pPr>
      <w:r w:rsidRPr="00C91B7D">
        <w:rPr>
          <w:rFonts w:ascii="Lato" w:eastAsia="Calibri" w:hAnsi="Lato" w:cs="Calibri"/>
          <w:color w:val="4A4A4A"/>
          <w:sz w:val="24"/>
          <w:szCs w:val="24"/>
          <w:lang w:val="it-IT"/>
        </w:rPr>
        <w:t> </w:t>
      </w:r>
    </w:p>
    <w:p w14:paraId="383C8564" w14:textId="5C817FBC" w:rsidR="00113C6A" w:rsidRPr="009314AA" w:rsidRDefault="009314AA" w:rsidP="00C91B7D">
      <w:pPr>
        <w:shd w:val="clear" w:color="auto" w:fill="FFFFFF"/>
        <w:spacing w:before="100" w:beforeAutospacing="1" w:after="100" w:afterAutospacing="1" w:line="240" w:lineRule="auto"/>
        <w:rPr>
          <w:rFonts w:ascii="Lato" w:eastAsia="Calibri" w:hAnsi="Lato" w:cs="Calibri"/>
          <w:b/>
          <w:bCs/>
          <w:lang w:val="it-IT" w:eastAsia="it-IT"/>
        </w:rPr>
      </w:pPr>
      <w:r w:rsidRPr="009314AA">
        <w:rPr>
          <w:rFonts w:ascii="Lato" w:eastAsia="Calibri" w:hAnsi="Lato" w:cs="Calibri"/>
          <w:b/>
          <w:bCs/>
          <w:lang w:val="it-IT" w:eastAsia="it-IT"/>
        </w:rPr>
        <w:t xml:space="preserve">NON SEMPRE I PRODOTTI CALMIERATI </w:t>
      </w:r>
      <w:r>
        <w:rPr>
          <w:rFonts w:ascii="Lato" w:eastAsia="Calibri" w:hAnsi="Lato" w:cs="Calibri"/>
          <w:b/>
          <w:bCs/>
          <w:lang w:val="it-IT" w:eastAsia="it-IT"/>
        </w:rPr>
        <w:t xml:space="preserve">SONO </w:t>
      </w:r>
      <w:r w:rsidRPr="009314AA">
        <w:rPr>
          <w:rFonts w:ascii="Lato" w:eastAsia="Calibri" w:hAnsi="Lato" w:cs="Calibri"/>
          <w:b/>
          <w:bCs/>
          <w:lang w:val="it-IT" w:eastAsia="it-IT"/>
        </w:rPr>
        <w:t>I MENO COSTOSI</w:t>
      </w:r>
    </w:p>
    <w:p w14:paraId="1710F686" w14:textId="503137BB" w:rsidR="00C91B7D" w:rsidRPr="00C91B7D" w:rsidRDefault="00C91B7D" w:rsidP="00CF5B64">
      <w:pPr>
        <w:shd w:val="clear" w:color="auto" w:fill="FFFFFF"/>
        <w:spacing w:before="100" w:beforeAutospacing="1" w:after="100" w:afterAutospacing="1" w:line="240" w:lineRule="auto"/>
        <w:jc w:val="both"/>
        <w:rPr>
          <w:rFonts w:ascii="Calibri" w:eastAsia="Calibri" w:hAnsi="Calibri" w:cs="Calibri"/>
          <w:lang w:val="it-IT" w:eastAsia="it-IT"/>
        </w:rPr>
      </w:pPr>
      <w:r w:rsidRPr="00C91B7D">
        <w:rPr>
          <w:rFonts w:ascii="Lato" w:eastAsia="Calibri" w:hAnsi="Lato" w:cs="Calibri"/>
          <w:lang w:val="it-IT" w:eastAsia="it-IT"/>
        </w:rPr>
        <w:t xml:space="preserve">Per verificare l’effettiva convenienza della promozione, </w:t>
      </w:r>
      <w:r w:rsidR="00CF5B64">
        <w:rPr>
          <w:rFonts w:ascii="Lato" w:eastAsia="Calibri" w:hAnsi="Lato" w:cs="Calibri"/>
          <w:lang w:val="it-IT" w:eastAsia="it-IT"/>
        </w:rPr>
        <w:t>sono state contate</w:t>
      </w:r>
      <w:r w:rsidRPr="00C91B7D">
        <w:rPr>
          <w:rFonts w:ascii="Lato" w:eastAsia="Calibri" w:hAnsi="Lato" w:cs="Calibri"/>
          <w:lang w:val="it-IT" w:eastAsia="it-IT"/>
        </w:rPr>
        <w:t> </w:t>
      </w:r>
      <w:r w:rsidRPr="00C91B7D">
        <w:rPr>
          <w:rFonts w:ascii="Lato" w:eastAsia="Calibri" w:hAnsi="Lato" w:cs="Calibri"/>
          <w:b/>
          <w:bCs/>
          <w:lang w:val="it-IT" w:eastAsia="it-IT"/>
        </w:rPr>
        <w:t xml:space="preserve">quante volte i prodotti del carrello tricolore </w:t>
      </w:r>
      <w:r w:rsidR="000948AD">
        <w:rPr>
          <w:rFonts w:ascii="Lato" w:eastAsia="Calibri" w:hAnsi="Lato" w:cs="Calibri"/>
          <w:b/>
          <w:bCs/>
          <w:lang w:val="it-IT" w:eastAsia="it-IT"/>
        </w:rPr>
        <w:t>risultassero</w:t>
      </w:r>
      <w:r w:rsidRPr="00C91B7D">
        <w:rPr>
          <w:rFonts w:ascii="Lato" w:eastAsia="Calibri" w:hAnsi="Lato" w:cs="Calibri"/>
          <w:b/>
          <w:bCs/>
          <w:lang w:val="it-IT" w:eastAsia="it-IT"/>
        </w:rPr>
        <w:t xml:space="preserve"> i meno cari </w:t>
      </w:r>
      <w:r w:rsidRPr="00C91B7D">
        <w:rPr>
          <w:rFonts w:ascii="Lato" w:eastAsia="Calibri" w:hAnsi="Lato" w:cs="Calibri"/>
          <w:lang w:val="it-IT" w:eastAsia="it-IT"/>
        </w:rPr>
        <w:t>della categoria</w:t>
      </w:r>
      <w:r w:rsidR="00CF5B64">
        <w:rPr>
          <w:rFonts w:ascii="Lato" w:eastAsia="Calibri" w:hAnsi="Lato" w:cs="Calibri"/>
          <w:lang w:val="it-IT" w:eastAsia="it-IT"/>
        </w:rPr>
        <w:t xml:space="preserve">. </w:t>
      </w:r>
      <w:r w:rsidRPr="00C91B7D">
        <w:rPr>
          <w:rFonts w:ascii="Lato" w:eastAsia="Calibri" w:hAnsi="Lato" w:cs="Calibri"/>
          <w:lang w:val="it-IT" w:eastAsia="it-IT"/>
        </w:rPr>
        <w:t>Mediamente solo</w:t>
      </w:r>
      <w:r w:rsidRPr="00C91B7D">
        <w:rPr>
          <w:rFonts w:ascii="Lato" w:eastAsia="Calibri" w:hAnsi="Lato" w:cs="Calibri"/>
          <w:b/>
          <w:bCs/>
          <w:lang w:val="it-IT" w:eastAsia="it-IT"/>
        </w:rPr>
        <w:t> il 22% dei prodotti sono i meno cari dello scaffale</w:t>
      </w:r>
      <w:r w:rsidRPr="00C91B7D">
        <w:rPr>
          <w:rFonts w:ascii="Lato" w:eastAsia="Calibri" w:hAnsi="Lato" w:cs="Calibri"/>
          <w:lang w:val="it-IT" w:eastAsia="it-IT"/>
        </w:rPr>
        <w:t>, questo vuol dire che per il </w:t>
      </w:r>
      <w:r w:rsidRPr="00C91B7D">
        <w:rPr>
          <w:rFonts w:ascii="Lato" w:eastAsia="Calibri" w:hAnsi="Lato" w:cs="Calibri"/>
          <w:b/>
          <w:bCs/>
          <w:lang w:val="it-IT" w:eastAsia="it-IT"/>
        </w:rPr>
        <w:t>78%</w:t>
      </w:r>
      <w:r w:rsidRPr="00C91B7D">
        <w:rPr>
          <w:rFonts w:ascii="Lato" w:eastAsia="Calibri" w:hAnsi="Lato" w:cs="Calibri"/>
          <w:lang w:val="it-IT" w:eastAsia="it-IT"/>
        </w:rPr>
        <w:t> </w:t>
      </w:r>
      <w:r w:rsidRPr="000948AD">
        <w:rPr>
          <w:rFonts w:ascii="Lato" w:eastAsia="Calibri" w:hAnsi="Lato" w:cs="Calibri"/>
          <w:b/>
          <w:bCs/>
          <w:lang w:val="it-IT" w:eastAsia="it-IT"/>
        </w:rPr>
        <w:t xml:space="preserve">delle volte </w:t>
      </w:r>
      <w:r w:rsidR="00CF5B64" w:rsidRPr="000948AD">
        <w:rPr>
          <w:rFonts w:ascii="Lato" w:eastAsia="Calibri" w:hAnsi="Lato" w:cs="Calibri"/>
          <w:b/>
          <w:bCs/>
          <w:lang w:val="it-IT" w:eastAsia="it-IT"/>
        </w:rPr>
        <w:t>è stato</w:t>
      </w:r>
      <w:r w:rsidRPr="000948AD">
        <w:rPr>
          <w:rFonts w:ascii="Lato" w:eastAsia="Calibri" w:hAnsi="Lato" w:cs="Calibri"/>
          <w:b/>
          <w:bCs/>
          <w:lang w:val="it-IT" w:eastAsia="it-IT"/>
        </w:rPr>
        <w:t xml:space="preserve"> trovato un prodotto più economico</w:t>
      </w:r>
      <w:r w:rsidRPr="00C91B7D">
        <w:rPr>
          <w:rFonts w:ascii="Lato" w:eastAsia="Calibri" w:hAnsi="Lato" w:cs="Calibri"/>
          <w:lang w:val="it-IT" w:eastAsia="it-IT"/>
        </w:rPr>
        <w:t xml:space="preserve"> con cui risparmiare di più che scegliendo il carrello.</w:t>
      </w:r>
    </w:p>
    <w:p w14:paraId="4C04610D" w14:textId="77777777" w:rsidR="00337D0A" w:rsidRDefault="00C91B7D" w:rsidP="00CF5B64">
      <w:pPr>
        <w:shd w:val="clear" w:color="auto" w:fill="FFFFFF"/>
        <w:spacing w:before="100" w:beforeAutospacing="1" w:after="100" w:afterAutospacing="1" w:line="240" w:lineRule="auto"/>
        <w:jc w:val="both"/>
        <w:rPr>
          <w:rFonts w:ascii="Lato" w:eastAsia="Calibri" w:hAnsi="Lato" w:cs="Calibri"/>
          <w:lang w:val="it-IT" w:eastAsia="it-IT"/>
        </w:rPr>
      </w:pPr>
      <w:r w:rsidRPr="00C91B7D">
        <w:rPr>
          <w:rFonts w:ascii="Lato" w:eastAsia="Calibri" w:hAnsi="Lato" w:cs="Calibri"/>
          <w:lang w:val="it-IT" w:eastAsia="it-IT"/>
        </w:rPr>
        <w:t>Rispetto a maggio-giugno i prezzi dei prodotti inseriti nel carrello tricolore si sono abbassati </w:t>
      </w:r>
      <w:r w:rsidRPr="00C91B7D">
        <w:rPr>
          <w:rFonts w:ascii="Lato" w:eastAsia="Calibri" w:hAnsi="Lato" w:cs="Calibri"/>
          <w:b/>
          <w:bCs/>
          <w:lang w:val="it-IT" w:eastAsia="it-IT"/>
        </w:rPr>
        <w:t>nei super e nei discount del 6% e del 3%</w:t>
      </w:r>
      <w:r w:rsidR="006115D8">
        <w:rPr>
          <w:rFonts w:ascii="Calibri" w:eastAsia="Calibri" w:hAnsi="Calibri" w:cs="Calibri"/>
          <w:lang w:val="it-IT" w:eastAsia="it-IT"/>
        </w:rPr>
        <w:t xml:space="preserve">. </w:t>
      </w:r>
      <w:r w:rsidRPr="00C91B7D">
        <w:rPr>
          <w:rFonts w:ascii="Lato" w:eastAsia="Calibri" w:hAnsi="Lato" w:cs="Calibri"/>
          <w:lang w:val="it-IT" w:eastAsia="it-IT"/>
        </w:rPr>
        <w:t>Negli </w:t>
      </w:r>
      <w:r w:rsidRPr="00C91B7D">
        <w:rPr>
          <w:rFonts w:ascii="Lato" w:eastAsia="Calibri" w:hAnsi="Lato" w:cs="Calibri"/>
          <w:b/>
          <w:bCs/>
          <w:lang w:val="it-IT" w:eastAsia="it-IT"/>
        </w:rPr>
        <w:t>iper </w:t>
      </w:r>
      <w:r w:rsidRPr="00C91B7D">
        <w:rPr>
          <w:rFonts w:ascii="Lato" w:eastAsia="Calibri" w:hAnsi="Lato" w:cs="Calibri"/>
          <w:lang w:val="it-IT" w:eastAsia="it-IT"/>
        </w:rPr>
        <w:t>visitati, invece, c’è stato addirittura un </w:t>
      </w:r>
      <w:r w:rsidRPr="00C91B7D">
        <w:rPr>
          <w:rFonts w:ascii="Lato" w:eastAsia="Calibri" w:hAnsi="Lato" w:cs="Calibri"/>
          <w:b/>
          <w:bCs/>
          <w:lang w:val="it-IT" w:eastAsia="it-IT"/>
        </w:rPr>
        <w:t>aumento</w:t>
      </w:r>
      <w:r w:rsidRPr="00C91B7D">
        <w:rPr>
          <w:rFonts w:ascii="Lato" w:eastAsia="Calibri" w:hAnsi="Lato" w:cs="Calibri"/>
          <w:lang w:val="it-IT" w:eastAsia="it-IT"/>
        </w:rPr>
        <w:t>, del </w:t>
      </w:r>
      <w:r w:rsidRPr="00C91B7D">
        <w:rPr>
          <w:rFonts w:ascii="Lato" w:eastAsia="Calibri" w:hAnsi="Lato" w:cs="Calibri"/>
          <w:b/>
          <w:bCs/>
          <w:lang w:val="it-IT" w:eastAsia="it-IT"/>
        </w:rPr>
        <w:t>2%</w:t>
      </w:r>
      <w:r w:rsidRPr="00C91B7D">
        <w:rPr>
          <w:rFonts w:ascii="Lato" w:eastAsia="Calibri" w:hAnsi="Lato" w:cs="Calibri"/>
          <w:lang w:val="it-IT" w:eastAsia="it-IT"/>
        </w:rPr>
        <w:t>.</w:t>
      </w:r>
      <w:r w:rsidR="006115D8">
        <w:rPr>
          <w:rFonts w:ascii="Calibri" w:eastAsia="Calibri" w:hAnsi="Calibri" w:cs="Calibri"/>
          <w:lang w:val="it-IT" w:eastAsia="it-IT"/>
        </w:rPr>
        <w:t xml:space="preserve"> </w:t>
      </w:r>
      <w:r w:rsidRPr="00C91B7D">
        <w:rPr>
          <w:rFonts w:ascii="Lato" w:eastAsia="Calibri" w:hAnsi="Lato" w:cs="Calibri"/>
          <w:lang w:val="it-IT" w:eastAsia="it-IT"/>
        </w:rPr>
        <w:t>In generale, però, i </w:t>
      </w:r>
      <w:r w:rsidRPr="00C91B7D">
        <w:rPr>
          <w:rFonts w:ascii="Lato" w:eastAsia="Calibri" w:hAnsi="Lato" w:cs="Calibri"/>
          <w:b/>
          <w:bCs/>
          <w:lang w:val="it-IT" w:eastAsia="it-IT"/>
        </w:rPr>
        <w:t>prezzi di tutti i prodotti rilevati sullo scaffale </w:t>
      </w:r>
      <w:r w:rsidRPr="00C91B7D">
        <w:rPr>
          <w:rFonts w:ascii="Lato" w:eastAsia="Calibri" w:hAnsi="Lato" w:cs="Calibri"/>
          <w:lang w:val="it-IT" w:eastAsia="it-IT"/>
        </w:rPr>
        <w:t>(tra promozioni e non) sono aumentati rispetto a maggio-giugno: rispettivamente del </w:t>
      </w:r>
      <w:r w:rsidRPr="00C91B7D">
        <w:rPr>
          <w:rFonts w:ascii="Lato" w:eastAsia="Calibri" w:hAnsi="Lato" w:cs="Calibri"/>
          <w:b/>
          <w:bCs/>
          <w:lang w:val="it-IT" w:eastAsia="it-IT"/>
        </w:rPr>
        <w:t>4%</w:t>
      </w:r>
      <w:r w:rsidRPr="00C91B7D">
        <w:rPr>
          <w:rFonts w:ascii="Lato" w:eastAsia="Calibri" w:hAnsi="Lato" w:cs="Calibri"/>
          <w:lang w:val="it-IT" w:eastAsia="it-IT"/>
        </w:rPr>
        <w:t> e del </w:t>
      </w:r>
      <w:r w:rsidRPr="00C91B7D">
        <w:rPr>
          <w:rFonts w:ascii="Lato" w:eastAsia="Calibri" w:hAnsi="Lato" w:cs="Calibri"/>
          <w:b/>
          <w:bCs/>
          <w:lang w:val="it-IT" w:eastAsia="it-IT"/>
        </w:rPr>
        <w:t>5% nei super e negli iper</w:t>
      </w:r>
      <w:r w:rsidRPr="00C91B7D">
        <w:rPr>
          <w:rFonts w:ascii="Lato" w:eastAsia="Calibri" w:hAnsi="Lato" w:cs="Calibri"/>
          <w:lang w:val="it-IT" w:eastAsia="it-IT"/>
        </w:rPr>
        <w:t>, dell’</w:t>
      </w:r>
      <w:r w:rsidRPr="00C91B7D">
        <w:rPr>
          <w:rFonts w:ascii="Lato" w:eastAsia="Calibri" w:hAnsi="Lato" w:cs="Calibri"/>
          <w:b/>
          <w:bCs/>
          <w:lang w:val="it-IT" w:eastAsia="it-IT"/>
        </w:rPr>
        <w:t>1%</w:t>
      </w:r>
      <w:r w:rsidRPr="00C91B7D">
        <w:rPr>
          <w:rFonts w:ascii="Lato" w:eastAsia="Calibri" w:hAnsi="Lato" w:cs="Calibri"/>
          <w:lang w:val="it-IT" w:eastAsia="it-IT"/>
        </w:rPr>
        <w:t> nei discount.</w:t>
      </w:r>
      <w:r w:rsidR="001B190A">
        <w:rPr>
          <w:rFonts w:ascii="Lato" w:eastAsia="Calibri" w:hAnsi="Lato" w:cs="Calibri"/>
          <w:lang w:val="it-IT" w:eastAsia="it-IT"/>
        </w:rPr>
        <w:t xml:space="preserve"> </w:t>
      </w:r>
    </w:p>
    <w:p w14:paraId="45D3CB36" w14:textId="5117DE56" w:rsidR="00C91B7D" w:rsidRPr="00337D0A" w:rsidRDefault="00337D0A" w:rsidP="00CF5B64">
      <w:pPr>
        <w:shd w:val="clear" w:color="auto" w:fill="FFFFFF"/>
        <w:spacing w:before="100" w:beforeAutospacing="1" w:after="100" w:afterAutospacing="1" w:line="240" w:lineRule="auto"/>
        <w:jc w:val="both"/>
        <w:rPr>
          <w:rFonts w:ascii="Lato" w:eastAsia="Calibri" w:hAnsi="Lato" w:cs="Calibri"/>
          <w:lang w:val="it-IT" w:eastAsia="it-IT"/>
        </w:rPr>
      </w:pPr>
      <w:r>
        <w:rPr>
          <w:rFonts w:ascii="Lato" w:eastAsia="Calibri" w:hAnsi="Lato" w:cs="Calibri"/>
          <w:lang w:val="it-IT" w:eastAsia="it-IT"/>
        </w:rPr>
        <w:t xml:space="preserve">È possibile consultare l’analisi completa a </w:t>
      </w:r>
      <w:hyperlink r:id="rId9" w:history="1">
        <w:r w:rsidRPr="00337D0A">
          <w:rPr>
            <w:rStyle w:val="Collegamentoipertestuale"/>
            <w:rFonts w:ascii="Lato" w:eastAsia="Calibri" w:hAnsi="Lato" w:cs="Calibri"/>
            <w:lang w:val="it-IT" w:eastAsia="it-IT"/>
          </w:rPr>
          <w:t>questo</w:t>
        </w:r>
      </w:hyperlink>
      <w:r>
        <w:rPr>
          <w:rFonts w:ascii="Lato" w:eastAsia="Calibri" w:hAnsi="Lato" w:cs="Calibri"/>
          <w:lang w:val="it-IT" w:eastAsia="it-IT"/>
        </w:rPr>
        <w:t xml:space="preserve"> link.</w:t>
      </w:r>
    </w:p>
    <w:tbl>
      <w:tblPr>
        <w:tblW w:w="0" w:type="auto"/>
        <w:shd w:val="clear" w:color="auto" w:fill="F0F0F0"/>
        <w:tblCellMar>
          <w:left w:w="0" w:type="dxa"/>
          <w:right w:w="0" w:type="dxa"/>
        </w:tblCellMar>
        <w:tblLook w:val="04A0" w:firstRow="1" w:lastRow="0" w:firstColumn="1" w:lastColumn="0" w:noHBand="0" w:noVBand="1"/>
      </w:tblPr>
      <w:tblGrid>
        <w:gridCol w:w="1025"/>
        <w:gridCol w:w="2098"/>
        <w:gridCol w:w="1291"/>
      </w:tblGrid>
      <w:tr w:rsidR="00C91B7D" w:rsidRPr="00BB592C" w14:paraId="33C5DD60" w14:textId="77777777" w:rsidTr="00C91B7D">
        <w:tc>
          <w:tcPr>
            <w:tcW w:w="0" w:type="auto"/>
            <w:gridSpan w:val="3"/>
            <w:tcBorders>
              <w:top w:val="single" w:sz="12" w:space="0" w:color="FFFFFF"/>
              <w:left w:val="single" w:sz="12" w:space="0" w:color="FFFFFF"/>
              <w:bottom w:val="single" w:sz="12" w:space="0" w:color="FFFFFF"/>
              <w:right w:val="single" w:sz="12" w:space="0" w:color="FFFFFF"/>
            </w:tcBorders>
            <w:shd w:val="clear" w:color="auto" w:fill="0F1933"/>
            <w:tcMar>
              <w:top w:w="75" w:type="dxa"/>
              <w:left w:w="75" w:type="dxa"/>
              <w:bottom w:w="75" w:type="dxa"/>
              <w:right w:w="75" w:type="dxa"/>
            </w:tcMar>
            <w:vAlign w:val="center"/>
            <w:hideMark/>
          </w:tcPr>
          <w:p w14:paraId="6927B7DF" w14:textId="77777777" w:rsidR="00C91B7D" w:rsidRPr="00C91B7D" w:rsidRDefault="00C91B7D" w:rsidP="00C91B7D">
            <w:pPr>
              <w:spacing w:after="0" w:line="225" w:lineRule="atLeast"/>
              <w:rPr>
                <w:rFonts w:ascii="Calibri" w:eastAsia="Calibri" w:hAnsi="Calibri" w:cs="Calibri"/>
                <w:lang w:val="it-IT"/>
              </w:rPr>
            </w:pPr>
            <w:r w:rsidRPr="00C91B7D">
              <w:rPr>
                <w:rFonts w:ascii="Calibri" w:eastAsia="Calibri" w:hAnsi="Calibri" w:cs="Calibri"/>
                <w:b/>
                <w:bCs/>
                <w:color w:val="FFFFFF"/>
                <w:sz w:val="18"/>
                <w:szCs w:val="18"/>
                <w:lang w:val="it-IT"/>
              </w:rPr>
              <w:t>Variazione media di prezzo tra maggio/giugno e ottobre  </w:t>
            </w:r>
          </w:p>
        </w:tc>
      </w:tr>
      <w:tr w:rsidR="00C91B7D" w:rsidRPr="00C91B7D" w14:paraId="00C21D10" w14:textId="77777777" w:rsidTr="00C91B7D">
        <w:tc>
          <w:tcPr>
            <w:tcW w:w="0" w:type="auto"/>
            <w:tcBorders>
              <w:top w:val="nil"/>
              <w:left w:val="single" w:sz="12" w:space="0" w:color="FFFFFF"/>
              <w:bottom w:val="single" w:sz="12" w:space="0" w:color="FFFFFF"/>
              <w:right w:val="single" w:sz="12" w:space="0" w:color="FFFFFF"/>
            </w:tcBorders>
            <w:shd w:val="clear" w:color="auto" w:fill="0F1933"/>
            <w:tcMar>
              <w:top w:w="75" w:type="dxa"/>
              <w:left w:w="75" w:type="dxa"/>
              <w:bottom w:w="75" w:type="dxa"/>
              <w:right w:w="75" w:type="dxa"/>
            </w:tcMar>
            <w:vAlign w:val="center"/>
            <w:hideMark/>
          </w:tcPr>
          <w:p w14:paraId="48CA6CEA" w14:textId="77777777" w:rsidR="00C91B7D" w:rsidRPr="00C91B7D" w:rsidRDefault="00C91B7D" w:rsidP="00C91B7D">
            <w:pPr>
              <w:spacing w:after="0" w:line="225" w:lineRule="atLeast"/>
              <w:rPr>
                <w:rFonts w:ascii="Calibri" w:eastAsia="Calibri" w:hAnsi="Calibri" w:cs="Calibri"/>
                <w:lang w:val="it-IT"/>
              </w:rPr>
            </w:pPr>
            <w:r w:rsidRPr="00C91B7D">
              <w:rPr>
                <w:rFonts w:ascii="Calibri" w:eastAsia="Calibri" w:hAnsi="Calibri" w:cs="Calibri"/>
                <w:b/>
                <w:bCs/>
                <w:color w:val="FFFFFF"/>
                <w:sz w:val="18"/>
                <w:szCs w:val="18"/>
                <w:lang w:val="it-IT"/>
              </w:rPr>
              <w:t> Tipologia</w:t>
            </w:r>
          </w:p>
        </w:tc>
        <w:tc>
          <w:tcPr>
            <w:tcW w:w="0" w:type="auto"/>
            <w:tcBorders>
              <w:top w:val="nil"/>
              <w:left w:val="nil"/>
              <w:bottom w:val="single" w:sz="12" w:space="0" w:color="FFFFFF"/>
              <w:right w:val="single" w:sz="12" w:space="0" w:color="FFFFFF"/>
            </w:tcBorders>
            <w:shd w:val="clear" w:color="auto" w:fill="0F1933"/>
            <w:tcMar>
              <w:top w:w="75" w:type="dxa"/>
              <w:left w:w="75" w:type="dxa"/>
              <w:bottom w:w="75" w:type="dxa"/>
              <w:right w:w="75" w:type="dxa"/>
            </w:tcMar>
            <w:vAlign w:val="center"/>
            <w:hideMark/>
          </w:tcPr>
          <w:p w14:paraId="18C119F6" w14:textId="77777777" w:rsidR="00C91B7D" w:rsidRPr="00C91B7D" w:rsidRDefault="00C91B7D" w:rsidP="00C91B7D">
            <w:pPr>
              <w:spacing w:after="0" w:line="225" w:lineRule="atLeast"/>
              <w:jc w:val="center"/>
              <w:rPr>
                <w:rFonts w:ascii="Calibri" w:eastAsia="Calibri" w:hAnsi="Calibri" w:cs="Calibri"/>
                <w:lang w:val="it-IT"/>
              </w:rPr>
            </w:pPr>
            <w:r w:rsidRPr="00C91B7D">
              <w:rPr>
                <w:rFonts w:ascii="Calibri" w:eastAsia="Calibri" w:hAnsi="Calibri" w:cs="Calibri"/>
                <w:b/>
                <w:bCs/>
                <w:color w:val="FFFFFF"/>
                <w:sz w:val="18"/>
                <w:szCs w:val="18"/>
                <w:lang w:val="it-IT"/>
              </w:rPr>
              <w:t>Prodotti carrello tricolore </w:t>
            </w:r>
          </w:p>
        </w:tc>
        <w:tc>
          <w:tcPr>
            <w:tcW w:w="0" w:type="auto"/>
            <w:tcBorders>
              <w:top w:val="nil"/>
              <w:left w:val="nil"/>
              <w:bottom w:val="single" w:sz="12" w:space="0" w:color="FFFFFF"/>
              <w:right w:val="single" w:sz="12" w:space="0" w:color="FFFFFF"/>
            </w:tcBorders>
            <w:shd w:val="clear" w:color="auto" w:fill="0F1933"/>
            <w:tcMar>
              <w:top w:w="75" w:type="dxa"/>
              <w:left w:w="75" w:type="dxa"/>
              <w:bottom w:w="75" w:type="dxa"/>
              <w:right w:w="75" w:type="dxa"/>
            </w:tcMar>
            <w:vAlign w:val="center"/>
            <w:hideMark/>
          </w:tcPr>
          <w:p w14:paraId="430DBAC0" w14:textId="77777777" w:rsidR="00C91B7D" w:rsidRPr="00C91B7D" w:rsidRDefault="00C91B7D" w:rsidP="00C91B7D">
            <w:pPr>
              <w:spacing w:after="0" w:line="225" w:lineRule="atLeast"/>
              <w:jc w:val="center"/>
              <w:rPr>
                <w:rFonts w:ascii="Calibri" w:eastAsia="Calibri" w:hAnsi="Calibri" w:cs="Calibri"/>
                <w:lang w:val="it-IT"/>
              </w:rPr>
            </w:pPr>
            <w:r w:rsidRPr="00C91B7D">
              <w:rPr>
                <w:rFonts w:ascii="Calibri" w:eastAsia="Calibri" w:hAnsi="Calibri" w:cs="Calibri"/>
                <w:b/>
                <w:bCs/>
                <w:color w:val="FFFFFF"/>
                <w:sz w:val="18"/>
                <w:szCs w:val="18"/>
                <w:lang w:val="it-IT"/>
              </w:rPr>
              <w:t>Tutti i prodotti </w:t>
            </w:r>
          </w:p>
        </w:tc>
      </w:tr>
      <w:tr w:rsidR="00C91B7D" w:rsidRPr="00C91B7D" w14:paraId="70C544FB" w14:textId="77777777" w:rsidTr="00C91B7D">
        <w:tc>
          <w:tcPr>
            <w:tcW w:w="0" w:type="auto"/>
            <w:tcBorders>
              <w:top w:val="nil"/>
              <w:left w:val="nil"/>
              <w:bottom w:val="single" w:sz="12" w:space="0" w:color="FFFFFF"/>
              <w:right w:val="single" w:sz="12" w:space="0" w:color="FFFFFF"/>
            </w:tcBorders>
            <w:shd w:val="clear" w:color="auto" w:fill="F0F0F0"/>
            <w:tcMar>
              <w:top w:w="15" w:type="dxa"/>
              <w:left w:w="15" w:type="dxa"/>
              <w:bottom w:w="15" w:type="dxa"/>
              <w:right w:w="15" w:type="dxa"/>
            </w:tcMar>
            <w:vAlign w:val="center"/>
            <w:hideMark/>
          </w:tcPr>
          <w:p w14:paraId="31E1A2F7" w14:textId="77777777" w:rsidR="00C91B7D" w:rsidRPr="00C91B7D" w:rsidRDefault="00C91B7D" w:rsidP="00C91B7D">
            <w:pPr>
              <w:spacing w:after="0" w:line="240" w:lineRule="auto"/>
              <w:rPr>
                <w:rFonts w:ascii="Calibri" w:eastAsia="Calibri" w:hAnsi="Calibri" w:cs="Calibri"/>
                <w:lang w:val="it-IT"/>
              </w:rPr>
            </w:pPr>
            <w:r w:rsidRPr="00C91B7D">
              <w:rPr>
                <w:rFonts w:ascii="Calibri" w:eastAsia="Calibri" w:hAnsi="Calibri" w:cs="Calibri"/>
                <w:color w:val="000000"/>
                <w:lang w:val="it-IT"/>
              </w:rPr>
              <w:t> SUPER</w:t>
            </w:r>
          </w:p>
        </w:tc>
        <w:tc>
          <w:tcPr>
            <w:tcW w:w="0" w:type="auto"/>
            <w:tcBorders>
              <w:top w:val="nil"/>
              <w:left w:val="nil"/>
              <w:bottom w:val="single" w:sz="12" w:space="0" w:color="FFFFFF"/>
              <w:right w:val="single" w:sz="12" w:space="0" w:color="FFFFFF"/>
            </w:tcBorders>
            <w:shd w:val="clear" w:color="auto" w:fill="F0F0F0"/>
            <w:tcMar>
              <w:top w:w="15" w:type="dxa"/>
              <w:left w:w="15" w:type="dxa"/>
              <w:bottom w:w="15" w:type="dxa"/>
              <w:right w:w="15" w:type="dxa"/>
            </w:tcMar>
            <w:vAlign w:val="center"/>
            <w:hideMark/>
          </w:tcPr>
          <w:p w14:paraId="3835A165" w14:textId="77777777" w:rsidR="00C91B7D" w:rsidRPr="00C91B7D" w:rsidRDefault="00C91B7D" w:rsidP="00C91B7D">
            <w:pPr>
              <w:spacing w:after="0" w:line="240" w:lineRule="auto"/>
              <w:jc w:val="center"/>
              <w:rPr>
                <w:rFonts w:ascii="Calibri" w:eastAsia="Calibri" w:hAnsi="Calibri" w:cs="Calibri"/>
                <w:lang w:val="it-IT"/>
              </w:rPr>
            </w:pPr>
            <w:r w:rsidRPr="00C91B7D">
              <w:rPr>
                <w:rFonts w:ascii="Calibri" w:eastAsia="Calibri" w:hAnsi="Calibri" w:cs="Calibri"/>
                <w:color w:val="000000"/>
                <w:lang w:val="it-IT"/>
              </w:rPr>
              <w:t> -6%</w:t>
            </w:r>
          </w:p>
        </w:tc>
        <w:tc>
          <w:tcPr>
            <w:tcW w:w="0" w:type="auto"/>
            <w:tcBorders>
              <w:top w:val="nil"/>
              <w:left w:val="nil"/>
              <w:bottom w:val="single" w:sz="12" w:space="0" w:color="FFFFFF"/>
              <w:right w:val="nil"/>
            </w:tcBorders>
            <w:shd w:val="clear" w:color="auto" w:fill="F0F0F0"/>
            <w:tcMar>
              <w:top w:w="15" w:type="dxa"/>
              <w:left w:w="15" w:type="dxa"/>
              <w:bottom w:w="15" w:type="dxa"/>
              <w:right w:w="15" w:type="dxa"/>
            </w:tcMar>
            <w:vAlign w:val="center"/>
            <w:hideMark/>
          </w:tcPr>
          <w:p w14:paraId="7C7D5F7D" w14:textId="77777777" w:rsidR="00C91B7D" w:rsidRPr="00C91B7D" w:rsidRDefault="00C91B7D" w:rsidP="00C91B7D">
            <w:pPr>
              <w:spacing w:after="0" w:line="240" w:lineRule="auto"/>
              <w:jc w:val="center"/>
              <w:rPr>
                <w:rFonts w:ascii="Calibri" w:eastAsia="Calibri" w:hAnsi="Calibri" w:cs="Calibri"/>
                <w:lang w:val="it-IT"/>
              </w:rPr>
            </w:pPr>
            <w:r w:rsidRPr="00C91B7D">
              <w:rPr>
                <w:rFonts w:ascii="Calibri" w:eastAsia="Calibri" w:hAnsi="Calibri" w:cs="Calibri"/>
                <w:color w:val="000000"/>
                <w:lang w:val="it-IT"/>
              </w:rPr>
              <w:t> 4%</w:t>
            </w:r>
          </w:p>
        </w:tc>
      </w:tr>
      <w:tr w:rsidR="00C91B7D" w:rsidRPr="00C91B7D" w14:paraId="095B8422" w14:textId="77777777" w:rsidTr="00C91B7D">
        <w:tc>
          <w:tcPr>
            <w:tcW w:w="0" w:type="auto"/>
            <w:tcBorders>
              <w:top w:val="nil"/>
              <w:left w:val="nil"/>
              <w:bottom w:val="single" w:sz="12" w:space="0" w:color="FFFFFF"/>
              <w:right w:val="single" w:sz="12" w:space="0" w:color="FFFFFF"/>
            </w:tcBorders>
            <w:shd w:val="clear" w:color="auto" w:fill="F0F0F0"/>
            <w:tcMar>
              <w:top w:w="15" w:type="dxa"/>
              <w:left w:w="15" w:type="dxa"/>
              <w:bottom w:w="15" w:type="dxa"/>
              <w:right w:w="15" w:type="dxa"/>
            </w:tcMar>
            <w:vAlign w:val="center"/>
            <w:hideMark/>
          </w:tcPr>
          <w:p w14:paraId="5AF433B7" w14:textId="77777777" w:rsidR="00C91B7D" w:rsidRPr="00C91B7D" w:rsidRDefault="00C91B7D" w:rsidP="00C91B7D">
            <w:pPr>
              <w:spacing w:after="0" w:line="240" w:lineRule="auto"/>
              <w:rPr>
                <w:rFonts w:ascii="Calibri" w:eastAsia="Calibri" w:hAnsi="Calibri" w:cs="Calibri"/>
                <w:lang w:val="it-IT"/>
              </w:rPr>
            </w:pPr>
            <w:r w:rsidRPr="00C91B7D">
              <w:rPr>
                <w:rFonts w:ascii="Calibri" w:eastAsia="Calibri" w:hAnsi="Calibri" w:cs="Calibri"/>
                <w:color w:val="000000"/>
                <w:lang w:val="it-IT"/>
              </w:rPr>
              <w:t> IPER</w:t>
            </w:r>
          </w:p>
        </w:tc>
        <w:tc>
          <w:tcPr>
            <w:tcW w:w="0" w:type="auto"/>
            <w:tcBorders>
              <w:top w:val="nil"/>
              <w:left w:val="nil"/>
              <w:bottom w:val="single" w:sz="12" w:space="0" w:color="FFFFFF"/>
              <w:right w:val="single" w:sz="12" w:space="0" w:color="FFFFFF"/>
            </w:tcBorders>
            <w:shd w:val="clear" w:color="auto" w:fill="F0F0F0"/>
            <w:tcMar>
              <w:top w:w="15" w:type="dxa"/>
              <w:left w:w="15" w:type="dxa"/>
              <w:bottom w:w="15" w:type="dxa"/>
              <w:right w:w="15" w:type="dxa"/>
            </w:tcMar>
            <w:vAlign w:val="center"/>
            <w:hideMark/>
          </w:tcPr>
          <w:p w14:paraId="6570C7EC" w14:textId="77777777" w:rsidR="00C91B7D" w:rsidRPr="00C91B7D" w:rsidRDefault="00C91B7D" w:rsidP="00C91B7D">
            <w:pPr>
              <w:spacing w:after="0" w:line="240" w:lineRule="auto"/>
              <w:jc w:val="center"/>
              <w:rPr>
                <w:rFonts w:ascii="Calibri" w:eastAsia="Calibri" w:hAnsi="Calibri" w:cs="Calibri"/>
                <w:lang w:val="it-IT"/>
              </w:rPr>
            </w:pPr>
            <w:r w:rsidRPr="00C91B7D">
              <w:rPr>
                <w:rFonts w:ascii="Calibri" w:eastAsia="Calibri" w:hAnsi="Calibri" w:cs="Calibri"/>
                <w:color w:val="000000"/>
                <w:lang w:val="it-IT"/>
              </w:rPr>
              <w:t> 2%</w:t>
            </w:r>
          </w:p>
        </w:tc>
        <w:tc>
          <w:tcPr>
            <w:tcW w:w="0" w:type="auto"/>
            <w:tcBorders>
              <w:top w:val="nil"/>
              <w:left w:val="nil"/>
              <w:bottom w:val="single" w:sz="12" w:space="0" w:color="FFFFFF"/>
              <w:right w:val="nil"/>
            </w:tcBorders>
            <w:shd w:val="clear" w:color="auto" w:fill="F0F0F0"/>
            <w:tcMar>
              <w:top w:w="15" w:type="dxa"/>
              <w:left w:w="15" w:type="dxa"/>
              <w:bottom w:w="15" w:type="dxa"/>
              <w:right w:w="15" w:type="dxa"/>
            </w:tcMar>
            <w:vAlign w:val="center"/>
            <w:hideMark/>
          </w:tcPr>
          <w:p w14:paraId="32B29DC6" w14:textId="77777777" w:rsidR="00C91B7D" w:rsidRPr="00C91B7D" w:rsidRDefault="00C91B7D" w:rsidP="00C91B7D">
            <w:pPr>
              <w:spacing w:after="0" w:line="240" w:lineRule="auto"/>
              <w:jc w:val="center"/>
              <w:rPr>
                <w:rFonts w:ascii="Calibri" w:eastAsia="Calibri" w:hAnsi="Calibri" w:cs="Calibri"/>
                <w:lang w:val="it-IT"/>
              </w:rPr>
            </w:pPr>
            <w:r w:rsidRPr="00C91B7D">
              <w:rPr>
                <w:rFonts w:ascii="Calibri" w:eastAsia="Calibri" w:hAnsi="Calibri" w:cs="Calibri"/>
                <w:color w:val="000000"/>
                <w:lang w:val="it-IT"/>
              </w:rPr>
              <w:t> 5%</w:t>
            </w:r>
          </w:p>
        </w:tc>
      </w:tr>
      <w:tr w:rsidR="00C91B7D" w:rsidRPr="00C91B7D" w14:paraId="206DAA49" w14:textId="77777777" w:rsidTr="00C91B7D">
        <w:tc>
          <w:tcPr>
            <w:tcW w:w="0" w:type="auto"/>
            <w:tcBorders>
              <w:top w:val="nil"/>
              <w:left w:val="nil"/>
              <w:bottom w:val="single" w:sz="12" w:space="0" w:color="FFFFFF"/>
              <w:right w:val="single" w:sz="12" w:space="0" w:color="FFFFFF"/>
            </w:tcBorders>
            <w:shd w:val="clear" w:color="auto" w:fill="F0F0F0"/>
            <w:tcMar>
              <w:top w:w="15" w:type="dxa"/>
              <w:left w:w="15" w:type="dxa"/>
              <w:bottom w:w="15" w:type="dxa"/>
              <w:right w:w="15" w:type="dxa"/>
            </w:tcMar>
            <w:vAlign w:val="center"/>
            <w:hideMark/>
          </w:tcPr>
          <w:p w14:paraId="16E8BF9B" w14:textId="77777777" w:rsidR="00C91B7D" w:rsidRPr="00C91B7D" w:rsidRDefault="00C91B7D" w:rsidP="00C91B7D">
            <w:pPr>
              <w:spacing w:after="0" w:line="240" w:lineRule="auto"/>
              <w:rPr>
                <w:rFonts w:ascii="Calibri" w:eastAsia="Calibri" w:hAnsi="Calibri" w:cs="Calibri"/>
                <w:lang w:val="it-IT"/>
              </w:rPr>
            </w:pPr>
            <w:r w:rsidRPr="00C91B7D">
              <w:rPr>
                <w:rFonts w:ascii="Calibri" w:eastAsia="Calibri" w:hAnsi="Calibri" w:cs="Calibri"/>
                <w:color w:val="000000"/>
                <w:lang w:val="it-IT"/>
              </w:rPr>
              <w:t> DISCOUNT</w:t>
            </w:r>
          </w:p>
        </w:tc>
        <w:tc>
          <w:tcPr>
            <w:tcW w:w="0" w:type="auto"/>
            <w:tcBorders>
              <w:top w:val="nil"/>
              <w:left w:val="nil"/>
              <w:bottom w:val="single" w:sz="12" w:space="0" w:color="FFFFFF"/>
              <w:right w:val="single" w:sz="12" w:space="0" w:color="FFFFFF"/>
            </w:tcBorders>
            <w:shd w:val="clear" w:color="auto" w:fill="F0F0F0"/>
            <w:tcMar>
              <w:top w:w="15" w:type="dxa"/>
              <w:left w:w="15" w:type="dxa"/>
              <w:bottom w:w="15" w:type="dxa"/>
              <w:right w:w="15" w:type="dxa"/>
            </w:tcMar>
            <w:vAlign w:val="center"/>
            <w:hideMark/>
          </w:tcPr>
          <w:p w14:paraId="7A0B5A12" w14:textId="77777777" w:rsidR="00C91B7D" w:rsidRPr="00C91B7D" w:rsidRDefault="00C91B7D" w:rsidP="00C91B7D">
            <w:pPr>
              <w:spacing w:after="0" w:line="240" w:lineRule="auto"/>
              <w:jc w:val="center"/>
              <w:rPr>
                <w:rFonts w:ascii="Calibri" w:eastAsia="Calibri" w:hAnsi="Calibri" w:cs="Calibri"/>
                <w:lang w:val="it-IT"/>
              </w:rPr>
            </w:pPr>
            <w:r w:rsidRPr="00C91B7D">
              <w:rPr>
                <w:rFonts w:ascii="Calibri" w:eastAsia="Calibri" w:hAnsi="Calibri" w:cs="Calibri"/>
                <w:color w:val="000000"/>
                <w:lang w:val="it-IT"/>
              </w:rPr>
              <w:t> -3%</w:t>
            </w:r>
          </w:p>
        </w:tc>
        <w:tc>
          <w:tcPr>
            <w:tcW w:w="0" w:type="auto"/>
            <w:tcBorders>
              <w:top w:val="nil"/>
              <w:left w:val="nil"/>
              <w:bottom w:val="single" w:sz="12" w:space="0" w:color="FFFFFF"/>
              <w:right w:val="nil"/>
            </w:tcBorders>
            <w:shd w:val="clear" w:color="auto" w:fill="F0F0F0"/>
            <w:tcMar>
              <w:top w:w="15" w:type="dxa"/>
              <w:left w:w="15" w:type="dxa"/>
              <w:bottom w:w="15" w:type="dxa"/>
              <w:right w:w="15" w:type="dxa"/>
            </w:tcMar>
            <w:vAlign w:val="center"/>
            <w:hideMark/>
          </w:tcPr>
          <w:p w14:paraId="208B70A8" w14:textId="77777777" w:rsidR="00C91B7D" w:rsidRPr="00C91B7D" w:rsidRDefault="00C91B7D" w:rsidP="00C91B7D">
            <w:pPr>
              <w:spacing w:after="0" w:line="240" w:lineRule="auto"/>
              <w:jc w:val="center"/>
              <w:rPr>
                <w:rFonts w:ascii="Calibri" w:eastAsia="Calibri" w:hAnsi="Calibri" w:cs="Calibri"/>
                <w:lang w:val="it-IT"/>
              </w:rPr>
            </w:pPr>
            <w:r w:rsidRPr="00C91B7D">
              <w:rPr>
                <w:rFonts w:ascii="Calibri" w:eastAsia="Calibri" w:hAnsi="Calibri" w:cs="Calibri"/>
                <w:color w:val="000000"/>
                <w:lang w:val="it-IT"/>
              </w:rPr>
              <w:t> 1%</w:t>
            </w:r>
          </w:p>
        </w:tc>
      </w:tr>
    </w:tbl>
    <w:p w14:paraId="2A2A7069" w14:textId="77777777" w:rsidR="00C91B7D" w:rsidRPr="00C91B7D" w:rsidRDefault="00C91B7D" w:rsidP="00C91B7D">
      <w:pPr>
        <w:shd w:val="clear" w:color="auto" w:fill="FFFFFF"/>
        <w:spacing w:after="0" w:line="240" w:lineRule="auto"/>
        <w:rPr>
          <w:rFonts w:ascii="Calibri" w:eastAsia="Calibri" w:hAnsi="Calibri" w:cs="Calibri"/>
          <w:lang w:val="it-IT"/>
        </w:rPr>
      </w:pPr>
      <w:r w:rsidRPr="00C91B7D">
        <w:rPr>
          <w:rFonts w:ascii="Lato" w:eastAsia="Calibri" w:hAnsi="Lato" w:cs="Calibri"/>
          <w:color w:val="4A4A4A"/>
          <w:sz w:val="24"/>
          <w:szCs w:val="24"/>
          <w:lang w:val="it-IT"/>
        </w:rPr>
        <w:t> </w:t>
      </w:r>
    </w:p>
    <w:p w14:paraId="705AC644" w14:textId="5CE92EFF" w:rsidR="000D5A35" w:rsidRDefault="000D5A35" w:rsidP="000D5A35">
      <w:pPr>
        <w:jc w:val="both"/>
        <w:rPr>
          <w:rFonts w:ascii="Calibri" w:eastAsia="Calibri" w:hAnsi="Calibri" w:cs="Times New Roman"/>
          <w:color w:val="1F4E79"/>
          <w:sz w:val="24"/>
          <w:szCs w:val="24"/>
        </w:rPr>
      </w:pPr>
    </w:p>
    <w:p w14:paraId="701E60A3" w14:textId="60A53CA4" w:rsidR="00296A43" w:rsidRPr="00296A43" w:rsidRDefault="00296A43" w:rsidP="00296A43">
      <w:pPr>
        <w:spacing w:after="0" w:line="240" w:lineRule="auto"/>
        <w:jc w:val="both"/>
        <w:rPr>
          <w:rFonts w:ascii="Calibri" w:eastAsia="Calibri" w:hAnsi="Calibri" w:cs="Calibri"/>
          <w:lang w:val="it-IT"/>
        </w:rPr>
      </w:pPr>
      <w:r w:rsidRPr="00296A43">
        <w:rPr>
          <w:rFonts w:ascii="Lato" w:eastAsia="Calibri" w:hAnsi="Lato" w:cs="Calibri"/>
          <w:i/>
          <w:iCs/>
          <w:lang w:val="it-IT"/>
        </w:rPr>
        <w:t xml:space="preserve">“Parte sbiadito il carrello tricolore. Nonostante le intenzioni del Governo e l’attesa mediatica suscitata, dati alla mano, sembra essere questa la sintesi dopo le prime due settimane della misura. Al momento, infatti, le nostre rilevazioni sul campo mostrano ancora una scarsa possibilità di risparmio per le famiglie italiane: se una lieve diminuzione di prezzo c’è stata, il calo ha riguardato solo </w:t>
      </w:r>
      <w:r w:rsidR="002931D3">
        <w:rPr>
          <w:rFonts w:ascii="Lato" w:eastAsia="Calibri" w:hAnsi="Lato" w:cs="Calibri"/>
          <w:i/>
          <w:iCs/>
          <w:color w:val="002060"/>
          <w:lang w:val="it-IT"/>
        </w:rPr>
        <w:t>i</w:t>
      </w:r>
      <w:r w:rsidR="002931D3" w:rsidRPr="00BB592C">
        <w:rPr>
          <w:rFonts w:ascii="Lato" w:eastAsia="Calibri" w:hAnsi="Lato" w:cs="Calibri"/>
          <w:i/>
          <w:iCs/>
          <w:color w:val="002060"/>
          <w:lang w:val="it-IT"/>
        </w:rPr>
        <w:t xml:space="preserve"> </w:t>
      </w:r>
      <w:r w:rsidRPr="00BB592C">
        <w:rPr>
          <w:rFonts w:ascii="Lato" w:eastAsia="Calibri" w:hAnsi="Lato" w:cs="Calibri"/>
          <w:i/>
          <w:iCs/>
          <w:color w:val="002060"/>
          <w:lang w:val="it-IT"/>
        </w:rPr>
        <w:t xml:space="preserve">pochi </w:t>
      </w:r>
      <w:r w:rsidRPr="00296A43">
        <w:rPr>
          <w:rFonts w:ascii="Lato" w:eastAsia="Calibri" w:hAnsi="Lato" w:cs="Calibri"/>
          <w:i/>
          <w:iCs/>
          <w:lang w:val="it-IT"/>
        </w:rPr>
        <w:t xml:space="preserve">prodotti inseriti nel “carrello”; inoltre, quest’ultimo non è andato a sommarsi alle promozioni già in essere e, contestualmente, vi è stato un paradossale </w:t>
      </w:r>
      <w:r w:rsidRPr="00296A43">
        <w:rPr>
          <w:rFonts w:ascii="Lato" w:eastAsia="Calibri" w:hAnsi="Lato" w:cs="Calibri"/>
          <w:i/>
          <w:iCs/>
          <w:lang w:val="it-IT"/>
        </w:rPr>
        <w:lastRenderedPageBreak/>
        <w:t xml:space="preserve">decremento delle altre offerte. Troppo poco, quindi, per costituire un reale supporto alla spesa degli italiani e certamente non sufficiente per determinare effetti miracolistici di abbattimento dell’inflazione generale, come recentemente affermato dal Ministro Urso. Gli indici ISTAT, pur in calo grazie principalmente agli energetici, restano ancora alti ad ottobre e le famiglie rischiano di non vedere effetti positivi ancora per settimane. </w:t>
      </w:r>
      <w:r w:rsidRPr="00296A43">
        <w:rPr>
          <w:rFonts w:ascii="Lato" w:eastAsia="Calibri" w:hAnsi="Lato" w:cs="Calibri"/>
          <w:lang w:val="it-IT"/>
        </w:rPr>
        <w:t xml:space="preserve">– dichiara </w:t>
      </w:r>
      <w:r w:rsidRPr="00296A43">
        <w:rPr>
          <w:rFonts w:ascii="Lato" w:eastAsia="Calibri" w:hAnsi="Lato" w:cs="Calibri"/>
          <w:b/>
          <w:bCs/>
          <w:lang w:val="it-IT"/>
        </w:rPr>
        <w:t>Federico Cavallo, Responsabile relazioni esterne di Altroconsumo</w:t>
      </w:r>
      <w:r w:rsidRPr="00296A43">
        <w:rPr>
          <w:rFonts w:ascii="Lato" w:eastAsia="Calibri" w:hAnsi="Lato" w:cs="Calibri"/>
          <w:lang w:val="it-IT"/>
        </w:rPr>
        <w:t xml:space="preserve"> – </w:t>
      </w:r>
      <w:r w:rsidRPr="00296A43">
        <w:rPr>
          <w:rFonts w:ascii="Lato" w:eastAsia="Calibri" w:hAnsi="Lato" w:cs="Calibri"/>
          <w:i/>
          <w:iCs/>
          <w:lang w:val="it-IT"/>
        </w:rPr>
        <w:t xml:space="preserve">Abbiamo poi voluto sondare anche l'esperienza reale dei consumatori e la loro </w:t>
      </w:r>
      <w:hyperlink r:id="rId10" w:history="1">
        <w:r w:rsidRPr="00296A43">
          <w:rPr>
            <w:rFonts w:ascii="Lato" w:eastAsia="Calibri" w:hAnsi="Lato" w:cs="Calibri"/>
            <w:i/>
            <w:iCs/>
            <w:color w:val="0070C0"/>
            <w:u w:val="single"/>
            <w:lang w:val="it-IT"/>
          </w:rPr>
          <w:t>opinione</w:t>
        </w:r>
      </w:hyperlink>
      <w:r w:rsidRPr="00296A43">
        <w:rPr>
          <w:rFonts w:ascii="Lato" w:eastAsia="Calibri" w:hAnsi="Lato" w:cs="Calibri"/>
          <w:i/>
          <w:iCs/>
          <w:lang w:val="it-IT"/>
        </w:rPr>
        <w:t xml:space="preserve"> rispetto a questa iniziativa governativa: ebbene, i cittadini stessi segnalano molte criticità, quali poca pubblicità nei punti vendita o l’esclusione di molti prodotti. Vista l’importanza della questione e il rilievo dato all’iniziativa, come Altroconsumo abbiamo deciso di aprire un osservatorio con cui continueremo a monitorarne la situazione per tutta la durata del Trimestre, per verificarne l’evoluzione e poterne valutare alla fine l’effettiva efficacia per le famiglie italiane.”</w:t>
      </w:r>
    </w:p>
    <w:p w14:paraId="78BCDB4D" w14:textId="0036240B" w:rsidR="008255F8" w:rsidRPr="008255F8" w:rsidRDefault="008255F8" w:rsidP="000D5A35">
      <w:pPr>
        <w:jc w:val="both"/>
        <w:rPr>
          <w:rFonts w:ascii="Calibri" w:eastAsia="Calibri" w:hAnsi="Calibri" w:cs="Times New Roman"/>
          <w:color w:val="1F4E79"/>
          <w:sz w:val="24"/>
          <w:szCs w:val="24"/>
          <w:lang w:val="it-IT"/>
        </w:rPr>
      </w:pPr>
    </w:p>
    <w:p w14:paraId="38117245" w14:textId="1059845B" w:rsidR="008255F8" w:rsidRPr="008255F8" w:rsidRDefault="008255F8" w:rsidP="000D5A35">
      <w:pPr>
        <w:jc w:val="both"/>
        <w:rPr>
          <w:rFonts w:ascii="Calibri" w:eastAsia="Calibri" w:hAnsi="Calibri" w:cs="Times New Roman"/>
          <w:color w:val="1F4E79"/>
          <w:sz w:val="24"/>
          <w:szCs w:val="24"/>
          <w:lang w:val="it-IT"/>
        </w:rPr>
      </w:pPr>
    </w:p>
    <w:p w14:paraId="55375D44" w14:textId="4801DB1C" w:rsidR="008255F8" w:rsidRPr="008255F8" w:rsidRDefault="008255F8" w:rsidP="000D5A35">
      <w:pPr>
        <w:jc w:val="both"/>
        <w:rPr>
          <w:rFonts w:ascii="Calibri" w:eastAsia="Calibri" w:hAnsi="Calibri" w:cs="Times New Roman"/>
          <w:color w:val="1F4E79"/>
          <w:sz w:val="24"/>
          <w:szCs w:val="24"/>
          <w:lang w:val="it-IT"/>
        </w:rPr>
      </w:pPr>
    </w:p>
    <w:p w14:paraId="0A3FA01C" w14:textId="77777777" w:rsidR="008255F8" w:rsidRPr="008255F8" w:rsidRDefault="008255F8" w:rsidP="000D5A35">
      <w:pPr>
        <w:jc w:val="both"/>
        <w:rPr>
          <w:rFonts w:ascii="Calibri" w:eastAsia="Calibri" w:hAnsi="Calibri" w:cs="Times New Roman"/>
          <w:color w:val="1F4E79"/>
          <w:sz w:val="24"/>
          <w:szCs w:val="24"/>
          <w:lang w:val="it-IT"/>
        </w:rPr>
      </w:pPr>
    </w:p>
    <w:p w14:paraId="4825D58C" w14:textId="6E7E40EF" w:rsidR="00C91B7D" w:rsidRDefault="00C91B7D" w:rsidP="00527CC1">
      <w:pPr>
        <w:shd w:val="clear" w:color="auto" w:fill="FFFFFF"/>
        <w:spacing w:before="100" w:beforeAutospacing="1" w:after="100" w:afterAutospacing="1" w:line="240" w:lineRule="auto"/>
        <w:jc w:val="both"/>
        <w:rPr>
          <w:rFonts w:ascii="Lato" w:eastAsia="Calibri" w:hAnsi="Lato" w:cs="Calibri"/>
          <w:lang w:val="it-IT" w:eastAsia="it-IT"/>
        </w:rPr>
      </w:pPr>
    </w:p>
    <w:p w14:paraId="7C8E124C" w14:textId="7160E903" w:rsidR="00C91B7D" w:rsidRDefault="00C91B7D" w:rsidP="00527CC1">
      <w:pPr>
        <w:shd w:val="clear" w:color="auto" w:fill="FFFFFF"/>
        <w:spacing w:before="100" w:beforeAutospacing="1" w:after="100" w:afterAutospacing="1" w:line="240" w:lineRule="auto"/>
        <w:jc w:val="both"/>
        <w:rPr>
          <w:rFonts w:ascii="Lato" w:eastAsia="Calibri" w:hAnsi="Lato" w:cs="Calibri"/>
          <w:lang w:val="it-IT" w:eastAsia="it-IT"/>
        </w:rPr>
      </w:pPr>
    </w:p>
    <w:p w14:paraId="2DD81E96" w14:textId="77777777" w:rsidR="00C91B7D" w:rsidRPr="006E215A" w:rsidRDefault="00C91B7D" w:rsidP="00527CC1">
      <w:pPr>
        <w:shd w:val="clear" w:color="auto" w:fill="FFFFFF"/>
        <w:spacing w:before="100" w:beforeAutospacing="1" w:after="100" w:afterAutospacing="1" w:line="240" w:lineRule="auto"/>
        <w:jc w:val="both"/>
        <w:rPr>
          <w:rFonts w:ascii="Calibri" w:eastAsia="Calibri" w:hAnsi="Calibri" w:cs="Calibri"/>
          <w:lang w:val="it-IT" w:eastAsia="it-IT"/>
        </w:rPr>
      </w:pPr>
    </w:p>
    <w:p w14:paraId="31411A91" w14:textId="2A85D6AB" w:rsidR="006E3193" w:rsidRPr="006E3193" w:rsidRDefault="006E3193" w:rsidP="009D68F4">
      <w:pPr>
        <w:pStyle w:val="NormaleWeb"/>
        <w:shd w:val="clear" w:color="auto" w:fill="FFFFFF"/>
        <w:jc w:val="center"/>
        <w:rPr>
          <w:rFonts w:ascii="Lato" w:hAnsi="Lato"/>
          <w:color w:val="262626" w:themeColor="text1" w:themeTint="D9"/>
          <w:sz w:val="22"/>
          <w:szCs w:val="22"/>
        </w:rPr>
      </w:pPr>
    </w:p>
    <w:p w14:paraId="583BE520" w14:textId="6A2B0499" w:rsidR="006541B8" w:rsidRDefault="006541B8" w:rsidP="00F11ED4">
      <w:pPr>
        <w:shd w:val="clear" w:color="auto" w:fill="FFFFFF"/>
        <w:spacing w:before="100" w:beforeAutospacing="1" w:after="100" w:afterAutospacing="1" w:line="240" w:lineRule="auto"/>
        <w:jc w:val="both"/>
        <w:rPr>
          <w:rFonts w:ascii="Lato" w:hAnsi="Lato"/>
          <w:i/>
          <w:iCs/>
          <w:lang w:val="it-IT"/>
        </w:rPr>
      </w:pPr>
      <w:r>
        <w:rPr>
          <w:noProof/>
        </w:rPr>
        <mc:AlternateContent>
          <mc:Choice Requires="wpg">
            <w:drawing>
              <wp:anchor distT="0" distB="0" distL="114300" distR="114300" simplePos="0" relativeHeight="251659264" behindDoc="0" locked="0" layoutInCell="1" allowOverlap="1" wp14:anchorId="34B299D1" wp14:editId="3709C6BC">
                <wp:simplePos x="0" y="0"/>
                <wp:positionH relativeFrom="page">
                  <wp:posOffset>6350</wp:posOffset>
                </wp:positionH>
                <wp:positionV relativeFrom="paragraph">
                  <wp:posOffset>306705</wp:posOffset>
                </wp:positionV>
                <wp:extent cx="7751445" cy="2185670"/>
                <wp:effectExtent l="0" t="0" r="1905" b="5080"/>
                <wp:wrapNone/>
                <wp:docPr id="6" name="Grup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51445" cy="2185670"/>
                          <a:chOff x="159985" y="167402"/>
                          <a:chExt cx="7555865" cy="1950720"/>
                        </a:xfrm>
                      </wpg:grpSpPr>
                      <wps:wsp>
                        <wps:cNvPr id="7" name="Rettangolo 6"/>
                        <wps:cNvSpPr/>
                        <wps:spPr>
                          <a:xfrm>
                            <a:off x="159985" y="167402"/>
                            <a:ext cx="7555865" cy="195072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8" name="Casella di testo 8"/>
                        <wps:cNvSpPr txBox="1"/>
                        <wps:spPr>
                          <a:xfrm>
                            <a:off x="514350" y="514350"/>
                            <a:ext cx="4729371" cy="1214730"/>
                          </a:xfrm>
                          <a:prstGeom prst="rect">
                            <a:avLst/>
                          </a:prstGeom>
                          <a:noFill/>
                          <a:ln w="6350">
                            <a:noFill/>
                          </a:ln>
                        </wps:spPr>
                        <wps:txbx>
                          <w:txbxContent>
                            <w:p w14:paraId="0792F2CB" w14:textId="77777777" w:rsidR="006541B8" w:rsidRPr="003C3A94" w:rsidRDefault="006541B8" w:rsidP="006541B8">
                              <w:pPr>
                                <w:spacing w:after="100" w:afterAutospacing="1" w:line="262" w:lineRule="auto"/>
                                <w:rPr>
                                  <w:iCs/>
                                  <w:sz w:val="16"/>
                                  <w:szCs w:val="16"/>
                                  <w:lang w:val="it-IT"/>
                                </w:rPr>
                              </w:pPr>
                              <w:r w:rsidRPr="00A23F87">
                                <w:rPr>
                                  <w:iCs/>
                                  <w:color w:val="595959" w:themeColor="text1" w:themeTint="A6"/>
                                  <w:sz w:val="16"/>
                                  <w:szCs w:val="16"/>
                                  <w:lang w:val="it-IT"/>
                                </w:rPr>
                                <w:t>Altroconsumo</w:t>
                              </w:r>
                              <w:r>
                                <w:rPr>
                                  <w:iCs/>
                                  <w:color w:val="595959" w:themeColor="text1" w:themeTint="A6"/>
                                  <w:sz w:val="16"/>
                                  <w:szCs w:val="16"/>
                                  <w:lang w:val="it-IT"/>
                                </w:rPr>
                                <w:t xml:space="preserve">, </w:t>
                              </w:r>
                              <w:r w:rsidRPr="00A23F87">
                                <w:rPr>
                                  <w:b/>
                                  <w:bCs/>
                                  <w:iCs/>
                                  <w:color w:val="595959" w:themeColor="text1" w:themeTint="A6"/>
                                  <w:sz w:val="16"/>
                                  <w:szCs w:val="16"/>
                                  <w:lang w:val="it-IT"/>
                                </w:rPr>
                                <w:t>la più grande organizzazione indipendente di consumatori in Italia</w:t>
                              </w:r>
                              <w:r w:rsidRPr="00363A3B">
                                <w:rPr>
                                  <w:iCs/>
                                  <w:color w:val="595959" w:themeColor="text1" w:themeTint="A6"/>
                                  <w:sz w:val="16"/>
                                  <w:szCs w:val="16"/>
                                  <w:lang w:val="it-IT"/>
                                </w:rPr>
                                <w:t>.</w:t>
                              </w:r>
                              <w:r w:rsidRPr="00A23F87">
                                <w:rPr>
                                  <w:iCs/>
                                  <w:color w:val="595959" w:themeColor="text1" w:themeTint="A6"/>
                                  <w:sz w:val="16"/>
                                  <w:szCs w:val="16"/>
                                  <w:lang w:val="it-IT"/>
                                </w:rPr>
                                <w:t xml:space="preserve"> </w:t>
                              </w:r>
                              <w:r w:rsidRPr="00363A3B">
                                <w:rPr>
                                  <w:iCs/>
                                  <w:color w:val="595959" w:themeColor="text1" w:themeTint="A6"/>
                                  <w:sz w:val="16"/>
                                  <w:szCs w:val="16"/>
                                  <w:lang w:val="it-IT"/>
                                </w:rPr>
                                <w:t>Conta sul sostegno di 31</w:t>
                              </w:r>
                              <w:r>
                                <w:rPr>
                                  <w:iCs/>
                                  <w:color w:val="595959" w:themeColor="text1" w:themeTint="A6"/>
                                  <w:sz w:val="16"/>
                                  <w:szCs w:val="16"/>
                                  <w:lang w:val="it-IT"/>
                                </w:rPr>
                                <w:t>4</w:t>
                              </w:r>
                              <w:r w:rsidRPr="00363A3B">
                                <w:rPr>
                                  <w:iCs/>
                                  <w:color w:val="595959" w:themeColor="text1" w:themeTint="A6"/>
                                  <w:sz w:val="16"/>
                                  <w:szCs w:val="16"/>
                                  <w:lang w:val="it-IT"/>
                                </w:rPr>
                                <w:t xml:space="preserve"> mila soci, che insieme ai nostri fan e simpatizzanti porta a oltre un milione di persone la comunità con cui Altroconsumo dialoga</w:t>
                              </w:r>
                              <w:r w:rsidRPr="00A23F87">
                                <w:rPr>
                                  <w:iCs/>
                                  <w:color w:val="595959" w:themeColor="text1" w:themeTint="A6"/>
                                  <w:sz w:val="16"/>
                                  <w:szCs w:val="16"/>
                                  <w:lang w:val="it-IT"/>
                                </w:rPr>
                                <w:t xml:space="preserve">. Da </w:t>
                              </w:r>
                              <w:r w:rsidRPr="00A23F87">
                                <w:rPr>
                                  <w:b/>
                                  <w:bCs/>
                                  <w:iCs/>
                                  <w:color w:val="595959" w:themeColor="text1" w:themeTint="A6"/>
                                  <w:sz w:val="16"/>
                                  <w:szCs w:val="16"/>
                                  <w:lang w:val="it-IT"/>
                                </w:rPr>
                                <w:t>50 anni</w:t>
                              </w:r>
                              <w:r w:rsidRPr="00A23F87">
                                <w:rPr>
                                  <w:iCs/>
                                  <w:color w:val="595959" w:themeColor="text1" w:themeTint="A6"/>
                                  <w:sz w:val="16"/>
                                  <w:szCs w:val="16"/>
                                  <w:lang w:val="it-IT"/>
                                </w:rPr>
                                <w:t xml:space="preserve"> è il punto di riferimento per i cittadini. Con </w:t>
                              </w:r>
                              <w:r w:rsidRPr="00A23F87">
                                <w:rPr>
                                  <w:b/>
                                  <w:bCs/>
                                  <w:iCs/>
                                  <w:color w:val="595959" w:themeColor="text1" w:themeTint="A6"/>
                                  <w:sz w:val="16"/>
                                  <w:szCs w:val="16"/>
                                  <w:lang w:val="it-IT"/>
                                </w:rPr>
                                <w:t>240 professionisti</w:t>
                              </w:r>
                              <w:r w:rsidRPr="00A23F87">
                                <w:rPr>
                                  <w:iCs/>
                                  <w:color w:val="595959" w:themeColor="text1" w:themeTint="A6"/>
                                  <w:sz w:val="16"/>
                                  <w:szCs w:val="16"/>
                                  <w:lang w:val="it-IT"/>
                                </w:rPr>
                                <w:t xml:space="preserve"> al servizio delle persone offre strumenti innovativi per scelte sicure e convenienti. Informa con autorevolezza e indipendenza attraverso le proprie pubblicazioni. Si impegna per difendere i diritti collettivi attraverso l’istituto della class action e per migliorare il quadro normativo e la rappresentanza delle istanze nelle sedi istituzionali, anche in Europa. Interviene nelle dinamiche di mercato, condizionandole a favore dello sviluppo e dell’innovazione, come con i Gruppi d’acquisto sull’energia, sui carburanti, con oltre 500mila adesioni.</w:t>
                              </w:r>
                            </w:p>
                            <w:p w14:paraId="2B7907BA" w14:textId="77777777" w:rsidR="006541B8" w:rsidRPr="003C3A94" w:rsidRDefault="006541B8" w:rsidP="006541B8">
                              <w:pPr>
                                <w:spacing w:after="100" w:afterAutospacing="1" w:line="262" w:lineRule="auto"/>
                                <w:rPr>
                                  <w:iCs/>
                                  <w:sz w:val="16"/>
                                  <w:szCs w:val="16"/>
                                  <w:lang w:val="it-IT"/>
                                </w:rPr>
                              </w:pPr>
                            </w:p>
                          </w:txbxContent>
                        </wps:txbx>
                        <wps:bodyPr rot="0" spcFirstLastPara="0" vertOverflow="overflow" horzOverflow="overflow" vert="horz" wrap="square" lIns="0" tIns="108000" rIns="0" bIns="0" numCol="1" spcCol="0" rtlCol="0" fromWordArt="0" anchor="t" anchorCtr="0" forceAA="0" compatLnSpc="1">
                          <a:prstTxWarp prst="textNoShape">
                            <a:avLst/>
                          </a:prstTxWarp>
                          <a:noAutofit/>
                        </wps:bodyPr>
                      </wps:wsp>
                      <pic:pic xmlns:pic="http://schemas.openxmlformats.org/drawingml/2006/picture">
                        <pic:nvPicPr>
                          <pic:cNvPr id="9" name="Immagine 2"/>
                          <pic:cNvPicPr>
                            <a:picLocks noChangeAspect="1"/>
                          </pic:cNvPicPr>
                        </pic:nvPicPr>
                        <pic:blipFill>
                          <a:blip r:embed="rId11" cstate="print"/>
                          <a:stretch>
                            <a:fillRect/>
                          </a:stretch>
                        </pic:blipFill>
                        <pic:spPr bwMode="auto">
                          <a:xfrm>
                            <a:off x="447675" y="200025"/>
                            <a:ext cx="1284605" cy="285750"/>
                          </a:xfrm>
                          <a:prstGeom prst="rect">
                            <a:avLst/>
                          </a:prstGeom>
                          <a:ln>
                            <a:noFill/>
                          </a:ln>
                        </pic:spPr>
                      </pic:pic>
                      <wps:wsp>
                        <wps:cNvPr id="10" name="Straight Connector 15"/>
                        <wps:cNvCnPr/>
                        <wps:spPr>
                          <a:xfrm>
                            <a:off x="5305425" y="600075"/>
                            <a:ext cx="0" cy="109029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4B299D1" id="Gruppo 6" o:spid="_x0000_s1026" style="position:absolute;left:0;text-align:left;margin-left:.5pt;margin-top:24.15pt;width:610.35pt;height:172.1pt;z-index:251659264;mso-position-horizontal-relative:page;mso-width-relative:margin;mso-height-relative:margin" coordorigin="1599,1674" coordsize="75558,195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">
                <v:rect id="Rettangolo 6" o:spid="_x0000_s1027" style="position:absolute;left:1599;top:1674;width:75559;height:1950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" fillcolor="#f2f2f2 [3052]" stroked="f" strokeweight="1pt"/>
                <v:shapetype id="_x0000_t202" coordsize="21600,21600" o:spt="202" path="m,l,21600r21600,l21600,xe">
                  <v:stroke joinstyle="miter"/>
                  <v:path gradientshapeok="t" o:connecttype="rect"/>
                </v:shapetype>
                <v:shape id="Casella di testo 8" o:spid="_x0000_s1028" type="#_x0000_t202" style="position:absolute;left:5143;top:5143;width:47294;height:1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" filled="f" stroked="f" strokeweight=".5pt">
                  <v:textbox inset="0,3mm,0,0">
                    <w:txbxContent>
                      <w:p w14:paraId="0792F2CB" w14:textId="77777777" w:rsidR="006541B8" w:rsidRPr="003C3A94" w:rsidRDefault="006541B8" w:rsidP="006541B8">
                        <w:pPr>
                          <w:spacing w:after="100" w:afterAutospacing="1" w:line="262" w:lineRule="auto"/>
                          <w:rPr>
                            <w:iCs/>
                            <w:sz w:val="16"/>
                            <w:szCs w:val="16"/>
                            <w:lang w:val="it-IT"/>
                          </w:rPr>
                        </w:pPr>
                        <w:r w:rsidRPr="00A23F87">
                          <w:rPr>
                            <w:iCs/>
                            <w:color w:val="595959" w:themeColor="text1" w:themeTint="A6"/>
                            <w:sz w:val="16"/>
                            <w:szCs w:val="16"/>
                            <w:lang w:val="it-IT"/>
                          </w:rPr>
                          <w:t>Altroconsumo</w:t>
                        </w:r>
                        <w:r>
                          <w:rPr>
                            <w:iCs/>
                            <w:color w:val="595959" w:themeColor="text1" w:themeTint="A6"/>
                            <w:sz w:val="16"/>
                            <w:szCs w:val="16"/>
                            <w:lang w:val="it-IT"/>
                          </w:rPr>
                          <w:t xml:space="preserve">, </w:t>
                        </w:r>
                        <w:r w:rsidRPr="00A23F87">
                          <w:rPr>
                            <w:b/>
                            <w:bCs/>
                            <w:iCs/>
                            <w:color w:val="595959" w:themeColor="text1" w:themeTint="A6"/>
                            <w:sz w:val="16"/>
                            <w:szCs w:val="16"/>
                            <w:lang w:val="it-IT"/>
                          </w:rPr>
                          <w:t>la più grande organizzazione indipendente di consumatori in Italia</w:t>
                        </w:r>
                        <w:r w:rsidRPr="00363A3B">
                          <w:rPr>
                            <w:iCs/>
                            <w:color w:val="595959" w:themeColor="text1" w:themeTint="A6"/>
                            <w:sz w:val="16"/>
                            <w:szCs w:val="16"/>
                            <w:lang w:val="it-IT"/>
                          </w:rPr>
                          <w:t>.</w:t>
                        </w:r>
                        <w:r w:rsidRPr="00A23F87">
                          <w:rPr>
                            <w:iCs/>
                            <w:color w:val="595959" w:themeColor="text1" w:themeTint="A6"/>
                            <w:sz w:val="16"/>
                            <w:szCs w:val="16"/>
                            <w:lang w:val="it-IT"/>
                          </w:rPr>
                          <w:t xml:space="preserve"> </w:t>
                        </w:r>
                        <w:r w:rsidRPr="00363A3B">
                          <w:rPr>
                            <w:iCs/>
                            <w:color w:val="595959" w:themeColor="text1" w:themeTint="A6"/>
                            <w:sz w:val="16"/>
                            <w:szCs w:val="16"/>
                            <w:lang w:val="it-IT"/>
                          </w:rPr>
                          <w:t>Conta sul sostegno di 31</w:t>
                        </w:r>
                        <w:r>
                          <w:rPr>
                            <w:iCs/>
                            <w:color w:val="595959" w:themeColor="text1" w:themeTint="A6"/>
                            <w:sz w:val="16"/>
                            <w:szCs w:val="16"/>
                            <w:lang w:val="it-IT"/>
                          </w:rPr>
                          <w:t>4</w:t>
                        </w:r>
                        <w:r w:rsidRPr="00363A3B">
                          <w:rPr>
                            <w:iCs/>
                            <w:color w:val="595959" w:themeColor="text1" w:themeTint="A6"/>
                            <w:sz w:val="16"/>
                            <w:szCs w:val="16"/>
                            <w:lang w:val="it-IT"/>
                          </w:rPr>
                          <w:t xml:space="preserve"> mila soci, che insieme ai nostri fan e simpatizzanti porta a oltre un milione di persone la comunità con cui Altroconsumo dialoga</w:t>
                        </w:r>
                        <w:r w:rsidRPr="00A23F87">
                          <w:rPr>
                            <w:iCs/>
                            <w:color w:val="595959" w:themeColor="text1" w:themeTint="A6"/>
                            <w:sz w:val="16"/>
                            <w:szCs w:val="16"/>
                            <w:lang w:val="it-IT"/>
                          </w:rPr>
                          <w:t xml:space="preserve">. Da </w:t>
                        </w:r>
                        <w:r w:rsidRPr="00A23F87">
                          <w:rPr>
                            <w:b/>
                            <w:bCs/>
                            <w:iCs/>
                            <w:color w:val="595959" w:themeColor="text1" w:themeTint="A6"/>
                            <w:sz w:val="16"/>
                            <w:szCs w:val="16"/>
                            <w:lang w:val="it-IT"/>
                          </w:rPr>
                          <w:t>50 anni</w:t>
                        </w:r>
                        <w:r w:rsidRPr="00A23F87">
                          <w:rPr>
                            <w:iCs/>
                            <w:color w:val="595959" w:themeColor="text1" w:themeTint="A6"/>
                            <w:sz w:val="16"/>
                            <w:szCs w:val="16"/>
                            <w:lang w:val="it-IT"/>
                          </w:rPr>
                          <w:t xml:space="preserve"> è il punto di riferimento per i cittadini. Con </w:t>
                        </w:r>
                        <w:r w:rsidRPr="00A23F87">
                          <w:rPr>
                            <w:b/>
                            <w:bCs/>
                            <w:iCs/>
                            <w:color w:val="595959" w:themeColor="text1" w:themeTint="A6"/>
                            <w:sz w:val="16"/>
                            <w:szCs w:val="16"/>
                            <w:lang w:val="it-IT"/>
                          </w:rPr>
                          <w:t>240 professionisti</w:t>
                        </w:r>
                        <w:r w:rsidRPr="00A23F87">
                          <w:rPr>
                            <w:iCs/>
                            <w:color w:val="595959" w:themeColor="text1" w:themeTint="A6"/>
                            <w:sz w:val="16"/>
                            <w:szCs w:val="16"/>
                            <w:lang w:val="it-IT"/>
                          </w:rPr>
                          <w:t xml:space="preserve"> al servizio delle persone offre strumenti innovativi per scelte sicure e convenienti. Informa con autorevolezza e indipendenza attraverso le proprie pubblicazioni. Si impegna per difendere i diritti collettivi attraverso l’istituto della class action e per migliorare il quadro normativo e la rappresentanza delle istanze nelle sedi istituzionali, anche in Europa. Interviene nelle dinamiche di mercato, condizionandole a favore dello sviluppo e dell’innovazione, come con i Gruppi d’acquisto sull’energia, sui carburanti, con oltre 500mila adesioni.</w:t>
                        </w:r>
                      </w:p>
                      <w:p w14:paraId="2B7907BA" w14:textId="77777777" w:rsidR="006541B8" w:rsidRPr="003C3A94" w:rsidRDefault="006541B8" w:rsidP="006541B8">
                        <w:pPr>
                          <w:spacing w:after="100" w:afterAutospacing="1" w:line="262" w:lineRule="auto"/>
                          <w:rPr>
                            <w:iCs/>
                            <w:sz w:val="16"/>
                            <w:szCs w:val="16"/>
                            <w:lang w:val="it-IT"/>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9" type="#_x0000_t75" style="position:absolute;left:4476;top:2000;width:12846;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">
                  <v:imagedata r:id="rId12" o:title=""/>
                </v:shape>
                <v:line id="Straight Connector 15" o:spid="_x0000_s1030" style="position:absolute;visibility:visible;mso-wrap-style:square" from="53054,6000" to="53054,16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" strokecolor="black [3200]" strokeweight=".5pt">
                  <v:stroke joinstyle="miter"/>
                </v:line>
                <w10:wrap anchorx="page"/>
              </v:group>
            </w:pict>
          </mc:Fallback>
        </mc:AlternateContent>
      </w:r>
    </w:p>
    <w:p w14:paraId="6CDD79B4" w14:textId="3C81AF19" w:rsidR="006541B8" w:rsidRPr="002E59ED" w:rsidRDefault="006541B8" w:rsidP="00F11ED4">
      <w:pPr>
        <w:shd w:val="clear" w:color="auto" w:fill="FFFFFF"/>
        <w:spacing w:before="100" w:beforeAutospacing="1" w:after="100" w:afterAutospacing="1" w:line="240" w:lineRule="auto"/>
        <w:jc w:val="both"/>
        <w:rPr>
          <w:rFonts w:ascii="Lato" w:hAnsi="Lato"/>
          <w:i/>
          <w:iCs/>
          <w:lang w:val="it-IT"/>
        </w:rPr>
      </w:pPr>
      <w:r>
        <w:rPr>
          <w:noProof/>
        </w:rPr>
        <mc:AlternateContent>
          <mc:Choice Requires="wps">
            <w:drawing>
              <wp:anchor distT="0" distB="0" distL="114300" distR="114300" simplePos="0" relativeHeight="251661312" behindDoc="0" locked="0" layoutInCell="1" allowOverlap="1" wp14:anchorId="29A4707B" wp14:editId="7FA44E2F">
                <wp:simplePos x="0" y="0"/>
                <wp:positionH relativeFrom="page">
                  <wp:posOffset>5410200</wp:posOffset>
                </wp:positionH>
                <wp:positionV relativeFrom="paragraph">
                  <wp:posOffset>300355</wp:posOffset>
                </wp:positionV>
                <wp:extent cx="1892935" cy="1498600"/>
                <wp:effectExtent l="0" t="0" r="12065" b="635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2935" cy="1498600"/>
                        </a:xfrm>
                        <a:prstGeom prst="rect">
                          <a:avLst/>
                        </a:prstGeom>
                        <a:noFill/>
                        <a:ln w="6350">
                          <a:noFill/>
                        </a:ln>
                      </wps:spPr>
                      <wps:txbx>
                        <w:txbxContent>
                          <w:p w14:paraId="0AB5FD2C" w14:textId="77777777" w:rsidR="006541B8" w:rsidRPr="003A6E30" w:rsidRDefault="006541B8" w:rsidP="006541B8">
                            <w:pPr>
                              <w:spacing w:after="0" w:line="240" w:lineRule="auto"/>
                              <w:rPr>
                                <w:rFonts w:cstheme="minorHAnsi"/>
                                <w:sz w:val="18"/>
                                <w:szCs w:val="18"/>
                                <w:lang w:val="it-IT"/>
                              </w:rPr>
                            </w:pPr>
                            <w:r w:rsidRPr="003A6E30">
                              <w:rPr>
                                <w:rFonts w:ascii="Lato Black" w:hAnsi="Lato Black"/>
                                <w:bCs/>
                                <w:color w:val="3B3838" w:themeColor="background2" w:themeShade="40"/>
                                <w:spacing w:val="8"/>
                                <w:sz w:val="18"/>
                                <w:szCs w:val="18"/>
                                <w:lang w:val="it-IT"/>
                              </w:rPr>
                              <w:t>Laura Piovesan</w:t>
                            </w:r>
                          </w:p>
                          <w:p w14:paraId="02BE2EB2" w14:textId="77777777" w:rsidR="006541B8" w:rsidRPr="003A6E30" w:rsidRDefault="00BB592C" w:rsidP="006541B8">
                            <w:pPr>
                              <w:spacing w:after="0" w:line="240" w:lineRule="auto"/>
                              <w:rPr>
                                <w:rStyle w:val="Collegamentoipertestuale"/>
                                <w:rFonts w:cstheme="minorHAnsi"/>
                                <w:sz w:val="18"/>
                                <w:szCs w:val="18"/>
                                <w:lang w:val="it-IT"/>
                              </w:rPr>
                            </w:pPr>
                            <w:r>
                              <w:fldChar w:fldCharType="begin"/>
                            </w:r>
                            <w:r w:rsidRPr="00BB592C">
                              <w:rPr>
                                <w:lang w:val="it-IT"/>
                              </w:rPr>
                              <w:instrText>HYPERLINK "mailto:laura.piovesan@mslgroup.com"</w:instrText>
                            </w:r>
                            <w:r>
                              <w:fldChar w:fldCharType="separate"/>
                            </w:r>
                            <w:r w:rsidR="006541B8" w:rsidRPr="003A6E30">
                              <w:rPr>
                                <w:rStyle w:val="Collegamentoipertestuale"/>
                                <w:rFonts w:cstheme="minorHAnsi"/>
                                <w:sz w:val="18"/>
                                <w:szCs w:val="18"/>
                                <w:lang w:val="it-IT"/>
                              </w:rPr>
                              <w:t>laura.piovesan@mslgroup.com</w:t>
                            </w:r>
                            <w:r>
                              <w:rPr>
                                <w:rStyle w:val="Collegamentoipertestuale"/>
                                <w:rFonts w:cstheme="minorHAnsi"/>
                                <w:sz w:val="18"/>
                                <w:szCs w:val="18"/>
                                <w:lang w:val="it-IT"/>
                              </w:rPr>
                              <w:fldChar w:fldCharType="end"/>
                            </w:r>
                            <w:r w:rsidR="006541B8" w:rsidRPr="003A6E30">
                              <w:rPr>
                                <w:rStyle w:val="Collegamentoipertestuale"/>
                                <w:rFonts w:cstheme="minorHAnsi"/>
                                <w:sz w:val="18"/>
                                <w:szCs w:val="18"/>
                                <w:lang w:val="it-IT"/>
                              </w:rPr>
                              <w:t xml:space="preserve"> </w:t>
                            </w:r>
                          </w:p>
                          <w:p w14:paraId="55120E7F" w14:textId="77777777" w:rsidR="006541B8" w:rsidRPr="001219E3" w:rsidRDefault="006541B8" w:rsidP="006541B8">
                            <w:pPr>
                              <w:spacing w:after="0" w:line="240" w:lineRule="auto"/>
                              <w:rPr>
                                <w:rFonts w:cstheme="minorHAnsi"/>
                                <w:color w:val="595959" w:themeColor="text1" w:themeTint="A6"/>
                                <w:sz w:val="18"/>
                                <w:szCs w:val="18"/>
                                <w:lang w:val="es-ES"/>
                              </w:rPr>
                            </w:pPr>
                            <w:r w:rsidRPr="001219E3">
                              <w:rPr>
                                <w:rFonts w:cstheme="minorHAnsi"/>
                                <w:color w:val="595959" w:themeColor="text1" w:themeTint="A6"/>
                                <w:sz w:val="18"/>
                                <w:szCs w:val="18"/>
                                <w:lang w:val="es-ES"/>
                              </w:rPr>
                              <w:t>+39 335 7390159</w:t>
                            </w:r>
                          </w:p>
                          <w:p w14:paraId="30C301F2" w14:textId="77777777" w:rsidR="006541B8" w:rsidRPr="001219E3" w:rsidRDefault="006541B8" w:rsidP="006541B8">
                            <w:pPr>
                              <w:spacing w:after="0" w:line="240" w:lineRule="auto"/>
                              <w:rPr>
                                <w:rFonts w:cstheme="minorHAnsi"/>
                                <w:color w:val="3B3838" w:themeColor="background2" w:themeShade="40"/>
                                <w:sz w:val="18"/>
                                <w:szCs w:val="18"/>
                                <w:lang w:val="es-ES"/>
                              </w:rPr>
                            </w:pPr>
                          </w:p>
                          <w:p w14:paraId="442E694B" w14:textId="77777777" w:rsidR="006541B8" w:rsidRPr="001219E3" w:rsidRDefault="006541B8" w:rsidP="006541B8">
                            <w:pPr>
                              <w:spacing w:after="0" w:line="240" w:lineRule="auto"/>
                              <w:rPr>
                                <w:rFonts w:cstheme="minorHAnsi"/>
                                <w:sz w:val="18"/>
                                <w:szCs w:val="18"/>
                                <w:lang w:val="es-ES"/>
                              </w:rPr>
                            </w:pPr>
                            <w:r w:rsidRPr="001219E3">
                              <w:rPr>
                                <w:rFonts w:ascii="Lato Black" w:hAnsi="Lato Black"/>
                                <w:bCs/>
                                <w:color w:val="3B3838" w:themeColor="background2" w:themeShade="40"/>
                                <w:spacing w:val="8"/>
                                <w:sz w:val="18"/>
                                <w:szCs w:val="18"/>
                                <w:lang w:val="es-ES"/>
                              </w:rPr>
                              <w:t>Elena Oricelli</w:t>
                            </w:r>
                          </w:p>
                          <w:p w14:paraId="438A4DEB" w14:textId="77777777" w:rsidR="006541B8" w:rsidRPr="001219E3" w:rsidRDefault="00BB592C" w:rsidP="006541B8">
                            <w:pPr>
                              <w:spacing w:after="0" w:line="240" w:lineRule="auto"/>
                              <w:rPr>
                                <w:rStyle w:val="Collegamentoipertestuale"/>
                                <w:rFonts w:cstheme="minorHAnsi"/>
                                <w:sz w:val="18"/>
                                <w:szCs w:val="18"/>
                                <w:lang w:val="es-ES"/>
                              </w:rPr>
                            </w:pPr>
                            <w:hyperlink r:id="rId13" w:history="1">
                              <w:r w:rsidR="006541B8" w:rsidRPr="001219E3">
                                <w:rPr>
                                  <w:rStyle w:val="Collegamentoipertestuale"/>
                                  <w:rFonts w:cstheme="minorHAnsi"/>
                                  <w:sz w:val="18"/>
                                  <w:szCs w:val="18"/>
                                  <w:lang w:val="es-ES"/>
                                </w:rPr>
                                <w:t>elena.oricelli@mslgroup.com</w:t>
                              </w:r>
                            </w:hyperlink>
                          </w:p>
                          <w:p w14:paraId="2BDC0AE3" w14:textId="77777777" w:rsidR="006541B8" w:rsidRPr="00FD5A66" w:rsidRDefault="006541B8" w:rsidP="006541B8">
                            <w:pPr>
                              <w:spacing w:after="0" w:line="240" w:lineRule="auto"/>
                              <w:rPr>
                                <w:rFonts w:cstheme="minorHAnsi"/>
                                <w:color w:val="595959" w:themeColor="text1" w:themeTint="A6"/>
                                <w:lang w:val="it-IT"/>
                              </w:rPr>
                            </w:pPr>
                            <w:r w:rsidRPr="00FD5A66">
                              <w:rPr>
                                <w:rFonts w:cstheme="minorHAnsi"/>
                                <w:color w:val="595959" w:themeColor="text1" w:themeTint="A6"/>
                                <w:sz w:val="18"/>
                                <w:szCs w:val="18"/>
                                <w:lang w:val="it-IT"/>
                              </w:rPr>
                              <w:t>+39 342 1486191</w:t>
                            </w:r>
                          </w:p>
                          <w:p w14:paraId="339A6A20" w14:textId="77777777" w:rsidR="006541B8" w:rsidRPr="00FD5A66" w:rsidRDefault="006541B8" w:rsidP="006541B8">
                            <w:pPr>
                              <w:spacing w:after="0" w:line="240" w:lineRule="auto"/>
                              <w:rPr>
                                <w:rFonts w:cstheme="minorHAnsi"/>
                                <w:color w:val="595959" w:themeColor="text1" w:themeTint="A6"/>
                                <w:lang w:val="it-IT"/>
                              </w:rPr>
                            </w:pPr>
                          </w:p>
                        </w:txbxContent>
                      </wps:txbx>
                      <wps:bodyPr rot="0" spcFirstLastPara="0" vertOverflow="overflow" horzOverflow="overflow" vert="horz" wrap="square" lIns="0" tIns="1080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9A4707B" id="_x0000_t202" coordsize="21600,21600" o:spt="202" path="m,l,21600r21600,l21600,xe">
                <v:stroke joinstyle="miter"/>
                <v:path gradientshapeok="t" o:connecttype="rect"/>
              </v:shapetype>
              <v:shape id="Casella di testo 3" o:spid="_x0000_s1031" type="#_x0000_t202" style="position:absolute;left:0;text-align:left;margin-left:426pt;margin-top:23.65pt;width:149.05pt;height:11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" filled="f" stroked="f" strokeweight=".5pt">
                <v:textbox inset="0,3mm,0,0">
                  <w:txbxContent>
                    <w:p w14:paraId="0AB5FD2C" w14:textId="77777777" w:rsidR="006541B8" w:rsidRPr="003A6E30" w:rsidRDefault="006541B8" w:rsidP="006541B8">
                      <w:pPr>
                        <w:spacing w:after="0" w:line="240" w:lineRule="auto"/>
                        <w:rPr>
                          <w:rFonts w:cstheme="minorHAnsi"/>
                          <w:sz w:val="18"/>
                          <w:szCs w:val="18"/>
                          <w:lang w:val="it-IT"/>
                        </w:rPr>
                      </w:pPr>
                      <w:r w:rsidRPr="003A6E30">
                        <w:rPr>
                          <w:rFonts w:ascii="Lato Black" w:hAnsi="Lato Black"/>
                          <w:bCs/>
                          <w:color w:val="3B3838" w:themeColor="background2" w:themeShade="40"/>
                          <w:spacing w:val="8"/>
                          <w:sz w:val="18"/>
                          <w:szCs w:val="18"/>
                          <w:lang w:val="it-IT"/>
                        </w:rPr>
                        <w:t>Laura Piovesan</w:t>
                      </w:r>
                    </w:p>
                    <w:p w14:paraId="02BE2EB2" w14:textId="77777777" w:rsidR="006541B8" w:rsidRPr="003A6E30" w:rsidRDefault="00BB592C" w:rsidP="006541B8">
                      <w:pPr>
                        <w:spacing w:after="0" w:line="240" w:lineRule="auto"/>
                        <w:rPr>
                          <w:rStyle w:val="Collegamentoipertestuale"/>
                          <w:rFonts w:cstheme="minorHAnsi"/>
                          <w:sz w:val="18"/>
                          <w:szCs w:val="18"/>
                          <w:lang w:val="it-IT"/>
                        </w:rPr>
                      </w:pPr>
                      <w:r>
                        <w:fldChar w:fldCharType="begin"/>
                      </w:r>
                      <w:r w:rsidRPr="00BB592C">
                        <w:rPr>
                          <w:lang w:val="it-IT"/>
                        </w:rPr>
                        <w:instrText>HYPERLINK "mailto:laura.piovesan@mslgroup.com"</w:instrText>
                      </w:r>
                      <w:r>
                        <w:fldChar w:fldCharType="separate"/>
                      </w:r>
                      <w:r w:rsidR="006541B8" w:rsidRPr="003A6E30">
                        <w:rPr>
                          <w:rStyle w:val="Collegamentoipertestuale"/>
                          <w:rFonts w:cstheme="minorHAnsi"/>
                          <w:sz w:val="18"/>
                          <w:szCs w:val="18"/>
                          <w:lang w:val="it-IT"/>
                        </w:rPr>
                        <w:t>laura.piovesan@mslgroup.com</w:t>
                      </w:r>
                      <w:r>
                        <w:rPr>
                          <w:rStyle w:val="Collegamentoipertestuale"/>
                          <w:rFonts w:cstheme="minorHAnsi"/>
                          <w:sz w:val="18"/>
                          <w:szCs w:val="18"/>
                          <w:lang w:val="it-IT"/>
                        </w:rPr>
                        <w:fldChar w:fldCharType="end"/>
                      </w:r>
                      <w:r w:rsidR="006541B8" w:rsidRPr="003A6E30">
                        <w:rPr>
                          <w:rStyle w:val="Collegamentoipertestuale"/>
                          <w:rFonts w:cstheme="minorHAnsi"/>
                          <w:sz w:val="18"/>
                          <w:szCs w:val="18"/>
                          <w:lang w:val="it-IT"/>
                        </w:rPr>
                        <w:t xml:space="preserve"> </w:t>
                      </w:r>
                    </w:p>
                    <w:p w14:paraId="55120E7F" w14:textId="77777777" w:rsidR="006541B8" w:rsidRPr="001219E3" w:rsidRDefault="006541B8" w:rsidP="006541B8">
                      <w:pPr>
                        <w:spacing w:after="0" w:line="240" w:lineRule="auto"/>
                        <w:rPr>
                          <w:rFonts w:cstheme="minorHAnsi"/>
                          <w:color w:val="595959" w:themeColor="text1" w:themeTint="A6"/>
                          <w:sz w:val="18"/>
                          <w:szCs w:val="18"/>
                          <w:lang w:val="es-ES"/>
                        </w:rPr>
                      </w:pPr>
                      <w:r w:rsidRPr="001219E3">
                        <w:rPr>
                          <w:rFonts w:cstheme="minorHAnsi"/>
                          <w:color w:val="595959" w:themeColor="text1" w:themeTint="A6"/>
                          <w:sz w:val="18"/>
                          <w:szCs w:val="18"/>
                          <w:lang w:val="es-ES"/>
                        </w:rPr>
                        <w:t>+39 335 7390159</w:t>
                      </w:r>
                    </w:p>
                    <w:p w14:paraId="30C301F2" w14:textId="77777777" w:rsidR="006541B8" w:rsidRPr="001219E3" w:rsidRDefault="006541B8" w:rsidP="006541B8">
                      <w:pPr>
                        <w:spacing w:after="0" w:line="240" w:lineRule="auto"/>
                        <w:rPr>
                          <w:rFonts w:cstheme="minorHAnsi"/>
                          <w:color w:val="3B3838" w:themeColor="background2" w:themeShade="40"/>
                          <w:sz w:val="18"/>
                          <w:szCs w:val="18"/>
                          <w:lang w:val="es-ES"/>
                        </w:rPr>
                      </w:pPr>
                    </w:p>
                    <w:p w14:paraId="442E694B" w14:textId="77777777" w:rsidR="006541B8" w:rsidRPr="001219E3" w:rsidRDefault="006541B8" w:rsidP="006541B8">
                      <w:pPr>
                        <w:spacing w:after="0" w:line="240" w:lineRule="auto"/>
                        <w:rPr>
                          <w:rFonts w:cstheme="minorHAnsi"/>
                          <w:sz w:val="18"/>
                          <w:szCs w:val="18"/>
                          <w:lang w:val="es-ES"/>
                        </w:rPr>
                      </w:pPr>
                      <w:r w:rsidRPr="001219E3">
                        <w:rPr>
                          <w:rFonts w:ascii="Lato Black" w:hAnsi="Lato Black"/>
                          <w:bCs/>
                          <w:color w:val="3B3838" w:themeColor="background2" w:themeShade="40"/>
                          <w:spacing w:val="8"/>
                          <w:sz w:val="18"/>
                          <w:szCs w:val="18"/>
                          <w:lang w:val="es-ES"/>
                        </w:rPr>
                        <w:t>Elena Oricelli</w:t>
                      </w:r>
                    </w:p>
                    <w:p w14:paraId="438A4DEB" w14:textId="77777777" w:rsidR="006541B8" w:rsidRPr="001219E3" w:rsidRDefault="00BB592C" w:rsidP="006541B8">
                      <w:pPr>
                        <w:spacing w:after="0" w:line="240" w:lineRule="auto"/>
                        <w:rPr>
                          <w:rStyle w:val="Collegamentoipertestuale"/>
                          <w:rFonts w:cstheme="minorHAnsi"/>
                          <w:sz w:val="18"/>
                          <w:szCs w:val="18"/>
                          <w:lang w:val="es-ES"/>
                        </w:rPr>
                      </w:pPr>
                      <w:hyperlink r:id="rId14" w:history="1">
                        <w:r w:rsidR="006541B8" w:rsidRPr="001219E3">
                          <w:rPr>
                            <w:rStyle w:val="Collegamentoipertestuale"/>
                            <w:rFonts w:cstheme="minorHAnsi"/>
                            <w:sz w:val="18"/>
                            <w:szCs w:val="18"/>
                            <w:lang w:val="es-ES"/>
                          </w:rPr>
                          <w:t>elena.oricelli@mslgroup.com</w:t>
                        </w:r>
                      </w:hyperlink>
                    </w:p>
                    <w:p w14:paraId="2BDC0AE3" w14:textId="77777777" w:rsidR="006541B8" w:rsidRPr="00FD5A66" w:rsidRDefault="006541B8" w:rsidP="006541B8">
                      <w:pPr>
                        <w:spacing w:after="0" w:line="240" w:lineRule="auto"/>
                        <w:rPr>
                          <w:rFonts w:cstheme="minorHAnsi"/>
                          <w:color w:val="595959" w:themeColor="text1" w:themeTint="A6"/>
                          <w:lang w:val="it-IT"/>
                        </w:rPr>
                      </w:pPr>
                      <w:r w:rsidRPr="00FD5A66">
                        <w:rPr>
                          <w:rFonts w:cstheme="minorHAnsi"/>
                          <w:color w:val="595959" w:themeColor="text1" w:themeTint="A6"/>
                          <w:sz w:val="18"/>
                          <w:szCs w:val="18"/>
                          <w:lang w:val="it-IT"/>
                        </w:rPr>
                        <w:t>+39 342 1486191</w:t>
                      </w:r>
                    </w:p>
                    <w:p w14:paraId="339A6A20" w14:textId="77777777" w:rsidR="006541B8" w:rsidRPr="00FD5A66" w:rsidRDefault="006541B8" w:rsidP="006541B8">
                      <w:pPr>
                        <w:spacing w:after="0" w:line="240" w:lineRule="auto"/>
                        <w:rPr>
                          <w:rFonts w:cstheme="minorHAnsi"/>
                          <w:color w:val="595959" w:themeColor="text1" w:themeTint="A6"/>
                          <w:lang w:val="it-IT"/>
                        </w:rPr>
                      </w:pPr>
                    </w:p>
                  </w:txbxContent>
                </v:textbox>
                <w10:wrap anchorx="page"/>
              </v:shape>
            </w:pict>
          </mc:Fallback>
        </mc:AlternateContent>
      </w:r>
    </w:p>
    <w:p w14:paraId="73E22362" w14:textId="765F2E57" w:rsidR="002E59ED" w:rsidRPr="00F11ED4" w:rsidRDefault="002E59ED" w:rsidP="00F11ED4">
      <w:pPr>
        <w:shd w:val="clear" w:color="auto" w:fill="FFFFFF"/>
        <w:spacing w:before="100" w:beforeAutospacing="1" w:after="100" w:afterAutospacing="1" w:line="240" w:lineRule="auto"/>
        <w:jc w:val="both"/>
        <w:rPr>
          <w:rFonts w:ascii="Lato" w:eastAsia="Times New Roman" w:hAnsi="Lato" w:cs="Times New Roman"/>
          <w:color w:val="262626" w:themeColor="text1" w:themeTint="D9"/>
          <w:lang w:val="it-IT" w:eastAsia="it-IT"/>
        </w:rPr>
      </w:pPr>
    </w:p>
    <w:sectPr w:rsidR="002E59ED" w:rsidRPr="00F11ED4">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F307A" w14:textId="77777777" w:rsidR="00B6426B" w:rsidRDefault="00B6426B" w:rsidP="000636B4">
      <w:pPr>
        <w:spacing w:after="0" w:line="240" w:lineRule="auto"/>
      </w:pPr>
      <w:r>
        <w:separator/>
      </w:r>
    </w:p>
  </w:endnote>
  <w:endnote w:type="continuationSeparator" w:id="0">
    <w:p w14:paraId="6CF9A662" w14:textId="77777777" w:rsidR="00B6426B" w:rsidRDefault="00B6426B" w:rsidP="00063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Lato Black">
    <w:charset w:val="00"/>
    <w:family w:val="swiss"/>
    <w:pitch w:val="variable"/>
    <w:sig w:usb0="E10002FF" w:usb1="5000ECF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1164A" w14:textId="77777777" w:rsidR="00B6426B" w:rsidRDefault="00B6426B" w:rsidP="000636B4">
      <w:pPr>
        <w:spacing w:after="0" w:line="240" w:lineRule="auto"/>
      </w:pPr>
      <w:r>
        <w:separator/>
      </w:r>
    </w:p>
  </w:footnote>
  <w:footnote w:type="continuationSeparator" w:id="0">
    <w:p w14:paraId="0AA41499" w14:textId="77777777" w:rsidR="00B6426B" w:rsidRDefault="00B6426B" w:rsidP="00063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7A1FD" w14:textId="2FB690DD" w:rsidR="00545720" w:rsidRDefault="00545720">
    <w:pPr>
      <w:pStyle w:val="Intestazione"/>
    </w:pPr>
    <w:r w:rsidRPr="00DF4616">
      <w:rPr>
        <w:rFonts w:ascii="Lato" w:hAnsi="Lato"/>
        <w:b/>
        <w:bCs/>
        <w:noProof/>
        <w:color w:val="3B3838"/>
        <w:sz w:val="44"/>
        <w:szCs w:val="44"/>
      </w:rPr>
      <w:drawing>
        <wp:anchor distT="0" distB="0" distL="114300" distR="114300" simplePos="0" relativeHeight="251659264" behindDoc="1" locked="1" layoutInCell="1" allowOverlap="0" wp14:anchorId="09E0474E" wp14:editId="2A2DDB00">
          <wp:simplePos x="0" y="0"/>
          <wp:positionH relativeFrom="margin">
            <wp:align>left</wp:align>
          </wp:positionH>
          <wp:positionV relativeFrom="page">
            <wp:posOffset>283845</wp:posOffset>
          </wp:positionV>
          <wp:extent cx="1626235" cy="672465"/>
          <wp:effectExtent l="0" t="0" r="0" b="0"/>
          <wp:wrapTopAndBottom/>
          <wp:docPr id="5" name="Immagine 2" descr="C:\Users\maracern1\AppData\Local\Microsoft\Windows\INetCache\Content.MSO\4B696B3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C:\Users\maracern1\AppData\Local\Microsoft\Windows\INetCache\Content.MSO\4B696B34.tmp"/>
                  <pic:cNvPicPr>
                    <a:picLocks noChangeAspect="1" noChangeArrowheads="1"/>
                  </pic:cNvPicPr>
                </pic:nvPicPr>
                <pic:blipFill rotWithShape="1">
                  <a:blip r:embed="rId1"/>
                  <a:srcRect l="-39" t="4740" r="-1361" b="-6932"/>
                  <a:stretch/>
                </pic:blipFill>
                <pic:spPr bwMode="auto">
                  <a:xfrm>
                    <a:off x="0" y="0"/>
                    <a:ext cx="1626235" cy="672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5F6"/>
    <w:rsid w:val="0002475C"/>
    <w:rsid w:val="000249E2"/>
    <w:rsid w:val="00044134"/>
    <w:rsid w:val="00050D68"/>
    <w:rsid w:val="00061531"/>
    <w:rsid w:val="000636B4"/>
    <w:rsid w:val="000908AA"/>
    <w:rsid w:val="00092B61"/>
    <w:rsid w:val="000948AD"/>
    <w:rsid w:val="000A472A"/>
    <w:rsid w:val="000A7347"/>
    <w:rsid w:val="000B75B2"/>
    <w:rsid w:val="000D0605"/>
    <w:rsid w:val="000D5A35"/>
    <w:rsid w:val="000F1AA3"/>
    <w:rsid w:val="00101F09"/>
    <w:rsid w:val="00103AE6"/>
    <w:rsid w:val="00113C6A"/>
    <w:rsid w:val="00113D07"/>
    <w:rsid w:val="001612F9"/>
    <w:rsid w:val="0016133E"/>
    <w:rsid w:val="001631DC"/>
    <w:rsid w:val="00164075"/>
    <w:rsid w:val="00165561"/>
    <w:rsid w:val="00166221"/>
    <w:rsid w:val="001761FC"/>
    <w:rsid w:val="00180531"/>
    <w:rsid w:val="00185FB4"/>
    <w:rsid w:val="00195A8C"/>
    <w:rsid w:val="001A25F6"/>
    <w:rsid w:val="001A682E"/>
    <w:rsid w:val="001B190A"/>
    <w:rsid w:val="001B1A37"/>
    <w:rsid w:val="001B63E0"/>
    <w:rsid w:val="001D0A2E"/>
    <w:rsid w:val="001D36D3"/>
    <w:rsid w:val="001D7BE5"/>
    <w:rsid w:val="001E4F74"/>
    <w:rsid w:val="002420F2"/>
    <w:rsid w:val="00246948"/>
    <w:rsid w:val="00254E5F"/>
    <w:rsid w:val="00263EB7"/>
    <w:rsid w:val="00265A26"/>
    <w:rsid w:val="002664DE"/>
    <w:rsid w:val="002931D3"/>
    <w:rsid w:val="00296A43"/>
    <w:rsid w:val="002A04BC"/>
    <w:rsid w:val="002C50CC"/>
    <w:rsid w:val="002C57C9"/>
    <w:rsid w:val="002D0BC1"/>
    <w:rsid w:val="002E46B3"/>
    <w:rsid w:val="002E59ED"/>
    <w:rsid w:val="00303E5C"/>
    <w:rsid w:val="00323343"/>
    <w:rsid w:val="00324FA8"/>
    <w:rsid w:val="00337D0A"/>
    <w:rsid w:val="00347F25"/>
    <w:rsid w:val="00352888"/>
    <w:rsid w:val="003577A0"/>
    <w:rsid w:val="00367373"/>
    <w:rsid w:val="0037516D"/>
    <w:rsid w:val="003751B1"/>
    <w:rsid w:val="00380AA7"/>
    <w:rsid w:val="00394D97"/>
    <w:rsid w:val="00396545"/>
    <w:rsid w:val="003A1D58"/>
    <w:rsid w:val="003A765D"/>
    <w:rsid w:val="003A7FDD"/>
    <w:rsid w:val="003C551D"/>
    <w:rsid w:val="003F272D"/>
    <w:rsid w:val="004038C4"/>
    <w:rsid w:val="0041409C"/>
    <w:rsid w:val="004245FE"/>
    <w:rsid w:val="0043684B"/>
    <w:rsid w:val="00462381"/>
    <w:rsid w:val="004643DD"/>
    <w:rsid w:val="0046538E"/>
    <w:rsid w:val="00480497"/>
    <w:rsid w:val="0048347E"/>
    <w:rsid w:val="004936BF"/>
    <w:rsid w:val="004A73DF"/>
    <w:rsid w:val="004D2949"/>
    <w:rsid w:val="004D34A5"/>
    <w:rsid w:val="004E127F"/>
    <w:rsid w:val="004F55D6"/>
    <w:rsid w:val="00500CD0"/>
    <w:rsid w:val="00521B6D"/>
    <w:rsid w:val="00526139"/>
    <w:rsid w:val="00527CC1"/>
    <w:rsid w:val="0053109B"/>
    <w:rsid w:val="00545720"/>
    <w:rsid w:val="0054606B"/>
    <w:rsid w:val="00556322"/>
    <w:rsid w:val="00566A3C"/>
    <w:rsid w:val="00592B8D"/>
    <w:rsid w:val="0059782E"/>
    <w:rsid w:val="005A29ED"/>
    <w:rsid w:val="005A67BE"/>
    <w:rsid w:val="005A703C"/>
    <w:rsid w:val="005B4479"/>
    <w:rsid w:val="005E2D9A"/>
    <w:rsid w:val="005F5842"/>
    <w:rsid w:val="005F6E3A"/>
    <w:rsid w:val="00610A17"/>
    <w:rsid w:val="006115D8"/>
    <w:rsid w:val="00614991"/>
    <w:rsid w:val="006247B6"/>
    <w:rsid w:val="00637CCE"/>
    <w:rsid w:val="006541B8"/>
    <w:rsid w:val="00656984"/>
    <w:rsid w:val="00694890"/>
    <w:rsid w:val="00695F0A"/>
    <w:rsid w:val="006A52ED"/>
    <w:rsid w:val="006A6FB7"/>
    <w:rsid w:val="006B578D"/>
    <w:rsid w:val="006C301E"/>
    <w:rsid w:val="006E215A"/>
    <w:rsid w:val="006E3193"/>
    <w:rsid w:val="00701F3E"/>
    <w:rsid w:val="0070394A"/>
    <w:rsid w:val="00707051"/>
    <w:rsid w:val="0070765E"/>
    <w:rsid w:val="007129B6"/>
    <w:rsid w:val="00726D14"/>
    <w:rsid w:val="00743FF6"/>
    <w:rsid w:val="00745810"/>
    <w:rsid w:val="007557FF"/>
    <w:rsid w:val="00770570"/>
    <w:rsid w:val="007A3560"/>
    <w:rsid w:val="007B02B0"/>
    <w:rsid w:val="007B110E"/>
    <w:rsid w:val="007B45E7"/>
    <w:rsid w:val="007C60F7"/>
    <w:rsid w:val="007D5F0D"/>
    <w:rsid w:val="007E00A7"/>
    <w:rsid w:val="007E585A"/>
    <w:rsid w:val="007E6951"/>
    <w:rsid w:val="007E7608"/>
    <w:rsid w:val="007F4590"/>
    <w:rsid w:val="00813E5C"/>
    <w:rsid w:val="008255F8"/>
    <w:rsid w:val="00825C9C"/>
    <w:rsid w:val="00843A0A"/>
    <w:rsid w:val="00846E75"/>
    <w:rsid w:val="00880BF3"/>
    <w:rsid w:val="00891D02"/>
    <w:rsid w:val="00895524"/>
    <w:rsid w:val="00896C6D"/>
    <w:rsid w:val="008A785E"/>
    <w:rsid w:val="008B68DF"/>
    <w:rsid w:val="008F438B"/>
    <w:rsid w:val="00900444"/>
    <w:rsid w:val="009314AA"/>
    <w:rsid w:val="009376FA"/>
    <w:rsid w:val="00942F03"/>
    <w:rsid w:val="00947B3A"/>
    <w:rsid w:val="00954757"/>
    <w:rsid w:val="00954B65"/>
    <w:rsid w:val="00954BC3"/>
    <w:rsid w:val="00961C4E"/>
    <w:rsid w:val="00966B92"/>
    <w:rsid w:val="00984E01"/>
    <w:rsid w:val="0099560B"/>
    <w:rsid w:val="009A0C4C"/>
    <w:rsid w:val="009A2896"/>
    <w:rsid w:val="009B6B99"/>
    <w:rsid w:val="009D68F4"/>
    <w:rsid w:val="009E29F4"/>
    <w:rsid w:val="009E30D8"/>
    <w:rsid w:val="00A0273F"/>
    <w:rsid w:val="00A055F6"/>
    <w:rsid w:val="00A06566"/>
    <w:rsid w:val="00A3276F"/>
    <w:rsid w:val="00A32CB7"/>
    <w:rsid w:val="00A36267"/>
    <w:rsid w:val="00A40BB4"/>
    <w:rsid w:val="00A44B45"/>
    <w:rsid w:val="00A55B92"/>
    <w:rsid w:val="00A60D67"/>
    <w:rsid w:val="00A630A8"/>
    <w:rsid w:val="00A64AE9"/>
    <w:rsid w:val="00A77FA6"/>
    <w:rsid w:val="00A81BDC"/>
    <w:rsid w:val="00AD507A"/>
    <w:rsid w:val="00AE555D"/>
    <w:rsid w:val="00B05967"/>
    <w:rsid w:val="00B1101E"/>
    <w:rsid w:val="00B13C6B"/>
    <w:rsid w:val="00B25AEB"/>
    <w:rsid w:val="00B3185E"/>
    <w:rsid w:val="00B349D5"/>
    <w:rsid w:val="00B41ED8"/>
    <w:rsid w:val="00B6426B"/>
    <w:rsid w:val="00B66AF9"/>
    <w:rsid w:val="00B84149"/>
    <w:rsid w:val="00B93121"/>
    <w:rsid w:val="00BA40C5"/>
    <w:rsid w:val="00BB592C"/>
    <w:rsid w:val="00BC2735"/>
    <w:rsid w:val="00BC5596"/>
    <w:rsid w:val="00BE2E99"/>
    <w:rsid w:val="00BF2645"/>
    <w:rsid w:val="00BF4B11"/>
    <w:rsid w:val="00BF6363"/>
    <w:rsid w:val="00C053AC"/>
    <w:rsid w:val="00C1014B"/>
    <w:rsid w:val="00C11A2C"/>
    <w:rsid w:val="00C141D4"/>
    <w:rsid w:val="00C17590"/>
    <w:rsid w:val="00C22C93"/>
    <w:rsid w:val="00C35937"/>
    <w:rsid w:val="00C426B1"/>
    <w:rsid w:val="00C46489"/>
    <w:rsid w:val="00C63D26"/>
    <w:rsid w:val="00C70F2E"/>
    <w:rsid w:val="00C76337"/>
    <w:rsid w:val="00C87061"/>
    <w:rsid w:val="00C91B7D"/>
    <w:rsid w:val="00C925FF"/>
    <w:rsid w:val="00C9335D"/>
    <w:rsid w:val="00CA1BE2"/>
    <w:rsid w:val="00CD6272"/>
    <w:rsid w:val="00CE535C"/>
    <w:rsid w:val="00CF5B64"/>
    <w:rsid w:val="00D04CF0"/>
    <w:rsid w:val="00D06477"/>
    <w:rsid w:val="00D219A0"/>
    <w:rsid w:val="00D273CC"/>
    <w:rsid w:val="00D30F93"/>
    <w:rsid w:val="00D507EB"/>
    <w:rsid w:val="00D5173A"/>
    <w:rsid w:val="00D702B6"/>
    <w:rsid w:val="00D71923"/>
    <w:rsid w:val="00D77012"/>
    <w:rsid w:val="00D83865"/>
    <w:rsid w:val="00D85786"/>
    <w:rsid w:val="00D90C5F"/>
    <w:rsid w:val="00D96499"/>
    <w:rsid w:val="00D978C7"/>
    <w:rsid w:val="00DA35C8"/>
    <w:rsid w:val="00DB2E2C"/>
    <w:rsid w:val="00DB6867"/>
    <w:rsid w:val="00DD243A"/>
    <w:rsid w:val="00DD4535"/>
    <w:rsid w:val="00DE4659"/>
    <w:rsid w:val="00DE73BE"/>
    <w:rsid w:val="00DF724A"/>
    <w:rsid w:val="00E02585"/>
    <w:rsid w:val="00E05D72"/>
    <w:rsid w:val="00E11FB4"/>
    <w:rsid w:val="00E17791"/>
    <w:rsid w:val="00E2264D"/>
    <w:rsid w:val="00E27DCF"/>
    <w:rsid w:val="00E377B0"/>
    <w:rsid w:val="00E53BD8"/>
    <w:rsid w:val="00E60A52"/>
    <w:rsid w:val="00EA5467"/>
    <w:rsid w:val="00EA79B4"/>
    <w:rsid w:val="00EB3DFD"/>
    <w:rsid w:val="00EB6A7E"/>
    <w:rsid w:val="00ED543B"/>
    <w:rsid w:val="00F11ED4"/>
    <w:rsid w:val="00F203B2"/>
    <w:rsid w:val="00F25848"/>
    <w:rsid w:val="00F50F76"/>
    <w:rsid w:val="00F512DB"/>
    <w:rsid w:val="00F5640D"/>
    <w:rsid w:val="00F96BF9"/>
    <w:rsid w:val="00FA1119"/>
    <w:rsid w:val="00FB0AAD"/>
    <w:rsid w:val="00FC0EE5"/>
    <w:rsid w:val="00FC147C"/>
    <w:rsid w:val="00FC218D"/>
    <w:rsid w:val="00FC5121"/>
    <w:rsid w:val="00FD019C"/>
    <w:rsid w:val="00FF0AB3"/>
    <w:rsid w:val="083B0EF9"/>
    <w:rsid w:val="33597827"/>
    <w:rsid w:val="4F3B7328"/>
    <w:rsid w:val="605AAEAF"/>
    <w:rsid w:val="7DE4C93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F2361"/>
  <w15:chartTrackingRefBased/>
  <w15:docId w15:val="{3ABD57D4-5118-4396-8890-B3849088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A055F6"/>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qFormat/>
    <w:rsid w:val="00A055F6"/>
    <w:rPr>
      <w:sz w:val="16"/>
      <w:szCs w:val="16"/>
    </w:rPr>
  </w:style>
  <w:style w:type="character" w:customStyle="1" w:styleId="TestocommentoCarattere">
    <w:name w:val="Testo commento Carattere"/>
    <w:basedOn w:val="Carpredefinitoparagrafo"/>
    <w:link w:val="Testocommento"/>
    <w:uiPriority w:val="99"/>
    <w:semiHidden/>
    <w:qFormat/>
    <w:rsid w:val="00A055F6"/>
    <w:rPr>
      <w:sz w:val="20"/>
      <w:szCs w:val="20"/>
    </w:rPr>
  </w:style>
  <w:style w:type="paragraph" w:styleId="NormaleWeb">
    <w:name w:val="Normal (Web)"/>
    <w:basedOn w:val="Normale"/>
    <w:uiPriority w:val="99"/>
    <w:semiHidden/>
    <w:qFormat/>
    <w:rsid w:val="00A055F6"/>
    <w:pPr>
      <w:spacing w:before="100" w:after="100" w:line="240" w:lineRule="auto"/>
    </w:pPr>
    <w:rPr>
      <w:rFonts w:ascii="Times New Roman" w:eastAsia="Times New Roman" w:hAnsi="Times New Roman" w:cs="Times New Roman"/>
      <w:sz w:val="24"/>
      <w:szCs w:val="20"/>
      <w:lang w:val="it-IT" w:eastAsia="it-IT"/>
    </w:rPr>
  </w:style>
  <w:style w:type="paragraph" w:styleId="Testocommento">
    <w:name w:val="annotation text"/>
    <w:basedOn w:val="Normale"/>
    <w:link w:val="TestocommentoCarattere"/>
    <w:uiPriority w:val="99"/>
    <w:semiHidden/>
    <w:qFormat/>
    <w:rsid w:val="00A055F6"/>
    <w:pPr>
      <w:spacing w:line="240" w:lineRule="auto"/>
    </w:pPr>
    <w:rPr>
      <w:sz w:val="20"/>
      <w:szCs w:val="20"/>
      <w:lang w:val="it-IT"/>
    </w:rPr>
  </w:style>
  <w:style w:type="character" w:customStyle="1" w:styleId="TestocommentoCarattere1">
    <w:name w:val="Testo commento Carattere1"/>
    <w:basedOn w:val="Carpredefinitoparagrafo"/>
    <w:uiPriority w:val="99"/>
    <w:semiHidden/>
    <w:rsid w:val="00A055F6"/>
    <w:rPr>
      <w:sz w:val="20"/>
      <w:szCs w:val="20"/>
      <w:lang w:val="fr-FR"/>
    </w:rPr>
  </w:style>
  <w:style w:type="character" w:styleId="Collegamentoipertestuale">
    <w:name w:val="Hyperlink"/>
    <w:basedOn w:val="Carpredefinitoparagrafo"/>
    <w:uiPriority w:val="99"/>
    <w:rsid w:val="00A055F6"/>
    <w:rPr>
      <w:color w:val="0000FF"/>
      <w:u w:val="single"/>
    </w:rPr>
  </w:style>
  <w:style w:type="paragraph" w:styleId="Nessunaspaziatura">
    <w:name w:val="No Spacing"/>
    <w:basedOn w:val="Normale"/>
    <w:uiPriority w:val="1"/>
    <w:qFormat/>
    <w:rsid w:val="00A055F6"/>
    <w:pPr>
      <w:spacing w:after="0" w:line="240" w:lineRule="auto"/>
    </w:pPr>
    <w:rPr>
      <w:rFonts w:ascii="Calibri" w:eastAsia="Times New Roman" w:hAnsi="Calibri" w:cs="Calibri"/>
      <w:sz w:val="20"/>
      <w:szCs w:val="20"/>
      <w:lang w:val="it-IT" w:eastAsia="it-IT"/>
    </w:rPr>
  </w:style>
  <w:style w:type="character" w:customStyle="1" w:styleId="contentpasted0">
    <w:name w:val="contentpasted0"/>
    <w:basedOn w:val="Carpredefinitoparagrafo"/>
    <w:rsid w:val="00D30F93"/>
  </w:style>
  <w:style w:type="paragraph" w:customStyle="1" w:styleId="contentpasted01">
    <w:name w:val="contentpasted01"/>
    <w:basedOn w:val="Normale"/>
    <w:rsid w:val="00656984"/>
    <w:pPr>
      <w:spacing w:after="0" w:line="240" w:lineRule="auto"/>
    </w:pPr>
    <w:rPr>
      <w:rFonts w:ascii="Calibri" w:hAnsi="Calibri" w:cs="Calibri"/>
      <w:lang w:val="it-IT" w:eastAsia="it-IT"/>
    </w:rPr>
  </w:style>
  <w:style w:type="character" w:styleId="Collegamentovisitato">
    <w:name w:val="FollowedHyperlink"/>
    <w:basedOn w:val="Carpredefinitoparagrafo"/>
    <w:uiPriority w:val="99"/>
    <w:semiHidden/>
    <w:unhideWhenUsed/>
    <w:rsid w:val="00D978C7"/>
    <w:rPr>
      <w:color w:val="954F72" w:themeColor="followedHyperlink"/>
      <w:u w:val="single"/>
    </w:rPr>
  </w:style>
  <w:style w:type="paragraph" w:styleId="Intestazione">
    <w:name w:val="header"/>
    <w:basedOn w:val="Normale"/>
    <w:link w:val="IntestazioneCarattere"/>
    <w:uiPriority w:val="99"/>
    <w:unhideWhenUsed/>
    <w:rsid w:val="005457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45720"/>
    <w:rPr>
      <w:lang w:val="fr-FR"/>
    </w:rPr>
  </w:style>
  <w:style w:type="paragraph" w:styleId="Pidipagina">
    <w:name w:val="footer"/>
    <w:basedOn w:val="Normale"/>
    <w:link w:val="PidipaginaCarattere"/>
    <w:uiPriority w:val="99"/>
    <w:unhideWhenUsed/>
    <w:rsid w:val="005457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45720"/>
    <w:rPr>
      <w:lang w:val="fr-FR"/>
    </w:rPr>
  </w:style>
  <w:style w:type="character" w:styleId="Menzionenonrisolta">
    <w:name w:val="Unresolved Mention"/>
    <w:basedOn w:val="Carpredefinitoparagrafo"/>
    <w:uiPriority w:val="99"/>
    <w:semiHidden/>
    <w:unhideWhenUsed/>
    <w:rsid w:val="0002475C"/>
    <w:rPr>
      <w:color w:val="605E5C"/>
      <w:shd w:val="clear" w:color="auto" w:fill="E1DFDD"/>
    </w:rPr>
  </w:style>
  <w:style w:type="paragraph" w:styleId="Revisione">
    <w:name w:val="Revision"/>
    <w:hidden/>
    <w:uiPriority w:val="99"/>
    <w:semiHidden/>
    <w:rsid w:val="001B190A"/>
    <w:pPr>
      <w:spacing w:after="0" w:line="240" w:lineRule="auto"/>
    </w:pPr>
    <w:rPr>
      <w:lang w:val="fr-FR"/>
    </w:rPr>
  </w:style>
  <w:style w:type="character" w:styleId="Enfasigrassetto">
    <w:name w:val="Strong"/>
    <w:basedOn w:val="Carpredefinitoparagrafo"/>
    <w:uiPriority w:val="22"/>
    <w:qFormat/>
    <w:rsid w:val="00DE73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2429">
      <w:bodyDiv w:val="1"/>
      <w:marLeft w:val="0"/>
      <w:marRight w:val="0"/>
      <w:marTop w:val="0"/>
      <w:marBottom w:val="0"/>
      <w:divBdr>
        <w:top w:val="none" w:sz="0" w:space="0" w:color="auto"/>
        <w:left w:val="none" w:sz="0" w:space="0" w:color="auto"/>
        <w:bottom w:val="none" w:sz="0" w:space="0" w:color="auto"/>
        <w:right w:val="none" w:sz="0" w:space="0" w:color="auto"/>
      </w:divBdr>
    </w:div>
    <w:div w:id="487870929">
      <w:bodyDiv w:val="1"/>
      <w:marLeft w:val="0"/>
      <w:marRight w:val="0"/>
      <w:marTop w:val="0"/>
      <w:marBottom w:val="0"/>
      <w:divBdr>
        <w:top w:val="none" w:sz="0" w:space="0" w:color="auto"/>
        <w:left w:val="none" w:sz="0" w:space="0" w:color="auto"/>
        <w:bottom w:val="none" w:sz="0" w:space="0" w:color="auto"/>
        <w:right w:val="none" w:sz="0" w:space="0" w:color="auto"/>
      </w:divBdr>
    </w:div>
    <w:div w:id="600064418">
      <w:bodyDiv w:val="1"/>
      <w:marLeft w:val="0"/>
      <w:marRight w:val="0"/>
      <w:marTop w:val="0"/>
      <w:marBottom w:val="0"/>
      <w:divBdr>
        <w:top w:val="none" w:sz="0" w:space="0" w:color="auto"/>
        <w:left w:val="none" w:sz="0" w:space="0" w:color="auto"/>
        <w:bottom w:val="none" w:sz="0" w:space="0" w:color="auto"/>
        <w:right w:val="none" w:sz="0" w:space="0" w:color="auto"/>
      </w:divBdr>
    </w:div>
    <w:div w:id="841314799">
      <w:bodyDiv w:val="1"/>
      <w:marLeft w:val="0"/>
      <w:marRight w:val="0"/>
      <w:marTop w:val="0"/>
      <w:marBottom w:val="0"/>
      <w:divBdr>
        <w:top w:val="none" w:sz="0" w:space="0" w:color="auto"/>
        <w:left w:val="none" w:sz="0" w:space="0" w:color="auto"/>
        <w:bottom w:val="none" w:sz="0" w:space="0" w:color="auto"/>
        <w:right w:val="none" w:sz="0" w:space="0" w:color="auto"/>
      </w:divBdr>
    </w:div>
    <w:div w:id="963387635">
      <w:bodyDiv w:val="1"/>
      <w:marLeft w:val="0"/>
      <w:marRight w:val="0"/>
      <w:marTop w:val="0"/>
      <w:marBottom w:val="0"/>
      <w:divBdr>
        <w:top w:val="none" w:sz="0" w:space="0" w:color="auto"/>
        <w:left w:val="none" w:sz="0" w:space="0" w:color="auto"/>
        <w:bottom w:val="none" w:sz="0" w:space="0" w:color="auto"/>
        <w:right w:val="none" w:sz="0" w:space="0" w:color="auto"/>
      </w:divBdr>
    </w:div>
    <w:div w:id="1006060029">
      <w:bodyDiv w:val="1"/>
      <w:marLeft w:val="0"/>
      <w:marRight w:val="0"/>
      <w:marTop w:val="0"/>
      <w:marBottom w:val="0"/>
      <w:divBdr>
        <w:top w:val="none" w:sz="0" w:space="0" w:color="auto"/>
        <w:left w:val="none" w:sz="0" w:space="0" w:color="auto"/>
        <w:bottom w:val="none" w:sz="0" w:space="0" w:color="auto"/>
        <w:right w:val="none" w:sz="0" w:space="0" w:color="auto"/>
      </w:divBdr>
    </w:div>
    <w:div w:id="1175345160">
      <w:bodyDiv w:val="1"/>
      <w:marLeft w:val="0"/>
      <w:marRight w:val="0"/>
      <w:marTop w:val="0"/>
      <w:marBottom w:val="0"/>
      <w:divBdr>
        <w:top w:val="none" w:sz="0" w:space="0" w:color="auto"/>
        <w:left w:val="none" w:sz="0" w:space="0" w:color="auto"/>
        <w:bottom w:val="none" w:sz="0" w:space="0" w:color="auto"/>
        <w:right w:val="none" w:sz="0" w:space="0" w:color="auto"/>
      </w:divBdr>
    </w:div>
    <w:div w:id="1324242197">
      <w:bodyDiv w:val="1"/>
      <w:marLeft w:val="0"/>
      <w:marRight w:val="0"/>
      <w:marTop w:val="0"/>
      <w:marBottom w:val="0"/>
      <w:divBdr>
        <w:top w:val="none" w:sz="0" w:space="0" w:color="auto"/>
        <w:left w:val="none" w:sz="0" w:space="0" w:color="auto"/>
        <w:bottom w:val="none" w:sz="0" w:space="0" w:color="auto"/>
        <w:right w:val="none" w:sz="0" w:space="0" w:color="auto"/>
      </w:divBdr>
    </w:div>
    <w:div w:id="1513256677">
      <w:bodyDiv w:val="1"/>
      <w:marLeft w:val="0"/>
      <w:marRight w:val="0"/>
      <w:marTop w:val="0"/>
      <w:marBottom w:val="0"/>
      <w:divBdr>
        <w:top w:val="none" w:sz="0" w:space="0" w:color="auto"/>
        <w:left w:val="none" w:sz="0" w:space="0" w:color="auto"/>
        <w:bottom w:val="none" w:sz="0" w:space="0" w:color="auto"/>
        <w:right w:val="none" w:sz="0" w:space="0" w:color="auto"/>
      </w:divBdr>
    </w:div>
    <w:div w:id="1689985277">
      <w:bodyDiv w:val="1"/>
      <w:marLeft w:val="0"/>
      <w:marRight w:val="0"/>
      <w:marTop w:val="0"/>
      <w:marBottom w:val="0"/>
      <w:divBdr>
        <w:top w:val="none" w:sz="0" w:space="0" w:color="auto"/>
        <w:left w:val="none" w:sz="0" w:space="0" w:color="auto"/>
        <w:bottom w:val="none" w:sz="0" w:space="0" w:color="auto"/>
        <w:right w:val="none" w:sz="0" w:space="0" w:color="auto"/>
      </w:divBdr>
    </w:div>
    <w:div w:id="1698234719">
      <w:bodyDiv w:val="1"/>
      <w:marLeft w:val="0"/>
      <w:marRight w:val="0"/>
      <w:marTop w:val="0"/>
      <w:marBottom w:val="0"/>
      <w:divBdr>
        <w:top w:val="none" w:sz="0" w:space="0" w:color="auto"/>
        <w:left w:val="none" w:sz="0" w:space="0" w:color="auto"/>
        <w:bottom w:val="none" w:sz="0" w:space="0" w:color="auto"/>
        <w:right w:val="none" w:sz="0" w:space="0" w:color="auto"/>
      </w:divBdr>
    </w:div>
    <w:div w:id="1761634745">
      <w:bodyDiv w:val="1"/>
      <w:marLeft w:val="0"/>
      <w:marRight w:val="0"/>
      <w:marTop w:val="0"/>
      <w:marBottom w:val="0"/>
      <w:divBdr>
        <w:top w:val="none" w:sz="0" w:space="0" w:color="auto"/>
        <w:left w:val="none" w:sz="0" w:space="0" w:color="auto"/>
        <w:bottom w:val="none" w:sz="0" w:space="0" w:color="auto"/>
        <w:right w:val="none" w:sz="0" w:space="0" w:color="auto"/>
      </w:divBdr>
    </w:div>
    <w:div w:id="197925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www.altroconsumo.it%2Falimentazione%2Ffare-la-spesa%2Fspeciali%2Fsupermercati-scegliere-bene-per-risparmiare&amp;data=05%7C01%7Celena.oricelli%40mslgroup.com%7Cfc5ddbbf23f94226f94008dbe1e43ae8%7Cd52c9ea17c2147b182a333a74b1f74b8%7C0%7C0%7C638352142990940725%7CUnknown%7CTWFpbGZsb3d8eyJWIjoiMC4wLjAwMDAiLCJQIjoiV2luMzIiLCJBTiI6Ik1haWwiLCJXVCI6Mn0%3D%7C3000%7C%7C%7C&amp;sdata=lUCnYGx7rCZuZeflR%2B%2FBnKq1ePrjV0gynC5s3s0TCvM%3D&amp;reserved=0" TargetMode="External"/><Relationship Id="rId13" Type="http://schemas.openxmlformats.org/officeDocument/2006/relationships/hyperlink" Target="mailto:elena.oricelli@mslgroup.com" TargetMode="External"/><Relationship Id="rId3" Type="http://schemas.openxmlformats.org/officeDocument/2006/relationships/webSettings" Target="webSettings.xml"/><Relationship Id="rId7" Type="http://schemas.openxmlformats.org/officeDocument/2006/relationships/hyperlink" Target="https://www.altroconsumo.it/alimentazione/fare-la-spesa/news/prezzi-prodotti-calmierati"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altroconsumo.it/alimentazione/fare-la-spesa/news/trimestre-antinflazione" TargetMode="External"/><Relationship Id="rId11"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nam02.safelinks.protection.outlook.com/?url=https%3A%2F%2Fwww.altroconsumo.it%2Falimentazione%2Ffare-la-spesa%2Fnews%2Ftrimestre-antinflazione-opinione-consumatori&amp;data=05%7C01%7Celena.oricelli%40mslgroup.com%7C410d3794d7264300a0d608dbe6a17640%7Cd52c9ea17c2147b182a333a74b1f74b8%7C0%7C0%7C638357353384989118%7CUnknown%7CTWFpbGZsb3d8eyJWIjoiMC4wLjAwMDAiLCJQIjoiV2luMzIiLCJBTiI6Ik1haWwiLCJXVCI6Mn0%3D%7C3000%7C%7C%7C&amp;sdata=8QI81KPxIGIlogqodlSVGixUW7TO5ywpzVkxtmBkkds%3D&amp;reserved=0" TargetMode="External"/><Relationship Id="rId4" Type="http://schemas.openxmlformats.org/officeDocument/2006/relationships/footnotes" Target="footnotes.xml"/><Relationship Id="rId9" Type="http://schemas.openxmlformats.org/officeDocument/2006/relationships/hyperlink" Target="http://www.altroconsumo.it/alimentazione/fare-la-spesa/news/prezzi-prodotti-calmierati" TargetMode="External"/><Relationship Id="rId14" Type="http://schemas.openxmlformats.org/officeDocument/2006/relationships/hyperlink" Target="mailto:elena.oricelli@msl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1177</Words>
  <Characters>6712</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Cavallo Federico</dc:creator>
  <cp:keywords/>
  <dc:description/>
  <cp:lastModifiedBy>Elena Oricelli</cp:lastModifiedBy>
  <cp:revision>8</cp:revision>
  <dcterms:created xsi:type="dcterms:W3CDTF">2023-11-14T10:48:00Z</dcterms:created>
  <dcterms:modified xsi:type="dcterms:W3CDTF">2023-11-16T13:26:00Z</dcterms:modified>
</cp:coreProperties>
</file>